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DEAC9">
      <w:pPr>
        <w:keepNext w:val="0"/>
        <w:keepLines w:val="0"/>
        <w:pageBreakBefore w:val="0"/>
        <w:kinsoku/>
        <w:wordWrap/>
        <w:overflowPunct/>
        <w:topLinePunct w:val="0"/>
        <w:bidi w:val="0"/>
        <w:adjustRightInd/>
        <w:snapToGrid/>
        <w:spacing w:line="570" w:lineRule="exact"/>
        <w:ind w:left="0" w:right="0"/>
        <w:jc w:val="center"/>
        <w:textAlignment w:val="auto"/>
        <w:rPr>
          <w:rFonts w:hint="eastAsia" w:ascii="方正小标宋简体" w:eastAsia="方正小标宋简体"/>
          <w:sz w:val="28"/>
          <w:szCs w:val="28"/>
        </w:rPr>
      </w:pPr>
      <w:bookmarkStart w:id="2" w:name="_GoBack"/>
      <w:bookmarkEnd w:id="2"/>
    </w:p>
    <w:p w14:paraId="0773BBA1">
      <w:pPr>
        <w:keepNext w:val="0"/>
        <w:keepLines w:val="0"/>
        <w:pageBreakBefore w:val="0"/>
        <w:kinsoku/>
        <w:wordWrap/>
        <w:overflowPunct/>
        <w:topLinePunct w:val="0"/>
        <w:bidi w:val="0"/>
        <w:adjustRightInd/>
        <w:snapToGrid/>
        <w:spacing w:line="570" w:lineRule="exact"/>
        <w:ind w:left="0" w:right="0"/>
        <w:jc w:val="center"/>
        <w:textAlignment w:val="auto"/>
        <w:rPr>
          <w:rFonts w:hint="eastAsia" w:ascii="方正小标宋简体" w:eastAsia="方正小标宋简体"/>
          <w:sz w:val="28"/>
          <w:szCs w:val="28"/>
        </w:rPr>
      </w:pPr>
    </w:p>
    <w:p w14:paraId="3AD828D5">
      <w:pPr>
        <w:keepNext w:val="0"/>
        <w:keepLines w:val="0"/>
        <w:pageBreakBefore w:val="0"/>
        <w:kinsoku/>
        <w:wordWrap/>
        <w:overflowPunct/>
        <w:topLinePunct w:val="0"/>
        <w:bidi w:val="0"/>
        <w:adjustRightInd/>
        <w:snapToGrid/>
        <w:spacing w:line="570" w:lineRule="exact"/>
        <w:ind w:left="0" w:right="0"/>
        <w:jc w:val="center"/>
        <w:textAlignment w:val="auto"/>
        <w:rPr>
          <w:rFonts w:hint="eastAsia" w:ascii="方正小标宋简体" w:eastAsia="方正小标宋简体"/>
          <w:sz w:val="28"/>
          <w:szCs w:val="28"/>
        </w:rPr>
      </w:pPr>
    </w:p>
    <w:p w14:paraId="363E981D">
      <w:pPr>
        <w:keepNext w:val="0"/>
        <w:keepLines w:val="0"/>
        <w:pageBreakBefore w:val="0"/>
        <w:kinsoku/>
        <w:wordWrap/>
        <w:overflowPunct/>
        <w:topLinePunct w:val="0"/>
        <w:bidi w:val="0"/>
        <w:adjustRightInd/>
        <w:snapToGrid/>
        <w:spacing w:line="570" w:lineRule="exact"/>
        <w:ind w:left="0" w:right="0"/>
        <w:jc w:val="center"/>
        <w:textAlignment w:val="auto"/>
        <w:rPr>
          <w:rFonts w:hint="eastAsia" w:ascii="方正小标宋简体" w:eastAsia="方正小标宋简体"/>
          <w:sz w:val="28"/>
          <w:szCs w:val="28"/>
        </w:rPr>
      </w:pPr>
    </w:p>
    <w:p w14:paraId="5BADEEE4">
      <w:pPr>
        <w:keepNext w:val="0"/>
        <w:keepLines w:val="0"/>
        <w:pageBreakBefore w:val="0"/>
        <w:kinsoku/>
        <w:wordWrap/>
        <w:overflowPunct/>
        <w:topLinePunct w:val="0"/>
        <w:bidi w:val="0"/>
        <w:adjustRightInd/>
        <w:snapToGrid/>
        <w:spacing w:line="570" w:lineRule="exact"/>
        <w:ind w:left="0" w:right="0"/>
        <w:textAlignment w:val="auto"/>
        <w:rPr>
          <w:rFonts w:hint="eastAsia" w:ascii="方正小标宋简体" w:eastAsia="方正小标宋简体"/>
          <w:sz w:val="28"/>
          <w:szCs w:val="28"/>
        </w:rPr>
      </w:pPr>
    </w:p>
    <w:p w14:paraId="505DAE35">
      <w:pPr>
        <w:keepNext w:val="0"/>
        <w:keepLines w:val="0"/>
        <w:pageBreakBefore w:val="0"/>
        <w:kinsoku/>
        <w:wordWrap/>
        <w:overflowPunct/>
        <w:topLinePunct w:val="0"/>
        <w:bidi w:val="0"/>
        <w:adjustRightInd/>
        <w:snapToGrid/>
        <w:spacing w:line="570" w:lineRule="exact"/>
        <w:ind w:left="0" w:right="0"/>
        <w:jc w:val="center"/>
        <w:textAlignment w:val="auto"/>
        <w:rPr>
          <w:rFonts w:hint="eastAsia" w:ascii="方正小标宋简体" w:eastAsia="方正小标宋简体"/>
          <w:sz w:val="44"/>
          <w:szCs w:val="44"/>
        </w:rPr>
      </w:pPr>
      <w:r>
        <w:rPr>
          <w:rFonts w:eastAsia="仿宋_GB2312"/>
          <w:sz w:val="32"/>
          <w:szCs w:val="32"/>
        </w:rPr>
        <w:t>静城管</w:t>
      </w:r>
      <w:r>
        <w:rPr>
          <w:rFonts w:hint="eastAsia" w:eastAsia="仿宋_GB2312"/>
          <w:sz w:val="32"/>
          <w:szCs w:val="32"/>
          <w:lang w:eastAsia="zh-CN"/>
        </w:rPr>
        <w:t>政</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w:t>
      </w:r>
      <w:r>
        <w:rPr>
          <w:rFonts w:eastAsia="仿宋_GB2312"/>
          <w:sz w:val="32"/>
          <w:szCs w:val="32"/>
        </w:rPr>
        <w:t>号</w:t>
      </w:r>
    </w:p>
    <w:p w14:paraId="0534C4BB">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both"/>
        <w:textAlignment w:val="auto"/>
        <w:rPr>
          <w:rFonts w:hint="eastAsia" w:ascii="方正小标宋简体" w:hAnsi="方正小标宋简体" w:eastAsia="方正小标宋简体" w:cs="方正小标宋简体"/>
          <w:spacing w:val="-11"/>
          <w:kern w:val="0"/>
          <w:sz w:val="44"/>
          <w:szCs w:val="44"/>
          <w:lang w:eastAsia="zh-CN"/>
        </w:rPr>
      </w:pPr>
      <w:bookmarkStart w:id="0" w:name="_Toc290371401"/>
    </w:p>
    <w:p w14:paraId="43BF8A58">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both"/>
        <w:textAlignment w:val="auto"/>
        <w:rPr>
          <w:rFonts w:hint="eastAsia" w:ascii="方正小标宋简体" w:hAnsi="方正小标宋简体" w:eastAsia="方正小标宋简体" w:cs="方正小标宋简体"/>
          <w:spacing w:val="-11"/>
          <w:kern w:val="0"/>
          <w:sz w:val="44"/>
          <w:szCs w:val="44"/>
          <w:lang w:eastAsia="zh-CN"/>
        </w:rPr>
      </w:pPr>
    </w:p>
    <w:p w14:paraId="773B563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静安区城市管理行政执法局</w:t>
      </w:r>
    </w:p>
    <w:p w14:paraId="2715600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2024年度法治政府建设情况报告</w:t>
      </w:r>
    </w:p>
    <w:bookmarkEnd w:id="0"/>
    <w:p w14:paraId="7161942E">
      <w:pPr>
        <w:pStyle w:val="4"/>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both"/>
        <w:textAlignment w:val="auto"/>
        <w:rPr>
          <w:rFonts w:hint="eastAsia" w:ascii="仿宋_GB2312" w:hAnsi="仿宋_GB2312" w:eastAsia="仿宋_GB2312" w:cs="仿宋_GB2312"/>
          <w:kern w:val="0"/>
          <w:sz w:val="34"/>
          <w:szCs w:val="34"/>
          <w:lang w:val="en-US" w:eastAsia="zh-CN" w:bidi="ar-SA"/>
        </w:rPr>
      </w:pPr>
    </w:p>
    <w:p w14:paraId="19CB6318">
      <w:pPr>
        <w:pStyle w:val="2"/>
        <w:ind w:left="0" w:leftChars="0" w:firstLine="0" w:firstLineChars="0"/>
        <w:jc w:val="both"/>
        <w:rPr>
          <w:rFonts w:hint="default" w:ascii="仿宋_GB2312" w:hAnsi="仿宋_GB2312" w:eastAsia="仿宋_GB2312" w:cs="仿宋_GB2312"/>
          <w:color w:val="auto"/>
          <w:kern w:val="2"/>
          <w:sz w:val="34"/>
          <w:szCs w:val="34"/>
          <w:lang w:val="en-US" w:eastAsia="zh-CN" w:bidi="ar-SA"/>
        </w:rPr>
      </w:pPr>
      <w:r>
        <w:rPr>
          <w:rFonts w:hint="eastAsia" w:ascii="仿宋_GB2312" w:hAnsi="仿宋_GB2312" w:eastAsia="仿宋_GB2312" w:cs="仿宋_GB2312"/>
          <w:color w:val="auto"/>
          <w:kern w:val="2"/>
          <w:sz w:val="34"/>
          <w:szCs w:val="34"/>
          <w:lang w:val="en-US" w:eastAsia="zh-CN" w:bidi="ar-SA"/>
        </w:rPr>
        <w:t>区司法局：</w:t>
      </w:r>
    </w:p>
    <w:p w14:paraId="4C4A4859">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2024年，在区委、区政府的坚强领导下，在区全面依法治区委员会办公室的指导下，静安区城市管理行政执法局坚持以习近平新时代中国特色社会主义思想为指导，深入贯彻落实党的二十大精神。围绕根据《法治政府建设实施纲要(2021-2025年)》、《静安区法治政府建设“十四五”规划》等相关文件规定，全面推进法治政府建设，坚持稳中求进，现总结如下：</w:t>
      </w:r>
    </w:p>
    <w:p w14:paraId="38A802B2">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rPr>
          <w:rFonts w:hint="eastAsia" w:ascii="黑体" w:hAnsi="黑体" w:eastAsia="黑体" w:cs="黑体"/>
          <w:color w:val="auto"/>
          <w:sz w:val="34"/>
          <w:szCs w:val="34"/>
          <w:lang w:val="en-US" w:eastAsia="zh-CN"/>
        </w:rPr>
      </w:pPr>
      <w:r>
        <w:rPr>
          <w:rFonts w:hint="eastAsia" w:ascii="黑体" w:hAnsi="黑体" w:eastAsia="黑体" w:cs="黑体"/>
          <w:color w:val="auto"/>
          <w:sz w:val="34"/>
          <w:szCs w:val="34"/>
          <w:lang w:val="en-US" w:eastAsia="zh-CN"/>
        </w:rPr>
        <w:t>一、2024年推进法治政府建设的主要举措和工作成效。</w:t>
      </w:r>
    </w:p>
    <w:p w14:paraId="2D533822">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83" w:firstLineChars="200"/>
        <w:jc w:val="both"/>
        <w:textAlignment w:val="auto"/>
        <w:rPr>
          <w:rFonts w:hint="eastAsia" w:ascii="楷体_GB2312" w:hAnsi="楷体_GB2312" w:eastAsia="楷体_GB2312" w:cs="楷体_GB2312"/>
          <w:b/>
          <w:bCs/>
          <w:color w:val="auto"/>
          <w:sz w:val="34"/>
          <w:szCs w:val="34"/>
          <w:lang w:val="en-US" w:eastAsia="zh-CN"/>
        </w:rPr>
      </w:pPr>
      <w:r>
        <w:rPr>
          <w:rFonts w:hint="eastAsia" w:ascii="楷体_GB2312" w:hAnsi="楷体_GB2312" w:eastAsia="楷体_GB2312" w:cs="楷体_GB2312"/>
          <w:b/>
          <w:bCs/>
          <w:color w:val="auto"/>
          <w:sz w:val="34"/>
          <w:szCs w:val="34"/>
          <w:lang w:val="en-US" w:eastAsia="zh-CN"/>
        </w:rPr>
        <w:t>深化依法行政，有序推进法治政府建设</w:t>
      </w:r>
    </w:p>
    <w:p w14:paraId="7F72AEC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仿宋_GB2312" w:hAnsi="仿宋_GB2312" w:eastAsia="仿宋_GB2312" w:cs="仿宋_GB2312"/>
          <w:kern w:val="0"/>
          <w:sz w:val="34"/>
          <w:szCs w:val="34"/>
          <w:lang w:val="en-US" w:eastAsia="zh-CN"/>
        </w:rPr>
      </w:pPr>
      <w:r>
        <w:rPr>
          <w:rFonts w:hint="eastAsia" w:ascii="仿宋_GB2312" w:hAnsi="仿宋_GB2312" w:eastAsia="仿宋_GB2312" w:cs="仿宋_GB2312"/>
          <w:kern w:val="0"/>
          <w:sz w:val="34"/>
          <w:szCs w:val="34"/>
          <w:lang w:eastAsia="zh-CN"/>
        </w:rPr>
        <w:t>一是对照市局和区委、区政府年度重点工作任务，</w:t>
      </w:r>
      <w:r>
        <w:rPr>
          <w:rFonts w:hint="eastAsia" w:ascii="仿宋_GB2312" w:hAnsi="仿宋_GB2312" w:eastAsia="仿宋_GB2312" w:cs="仿宋_GB2312"/>
          <w:kern w:val="0"/>
          <w:sz w:val="34"/>
          <w:szCs w:val="34"/>
          <w:lang w:val="en-US" w:eastAsia="zh-CN"/>
        </w:rPr>
        <w:t>将法治工作与业务工作同研究、同部署、同检查、同落实，扎实推进法治政府建设各项工作的组织与落实。落实区</w:t>
      </w:r>
      <w:r>
        <w:rPr>
          <w:rFonts w:hint="eastAsia" w:ascii="仿宋_GB2312" w:hAnsi="仿宋_GB2312" w:eastAsia="仿宋_GB2312" w:cs="仿宋_GB2312"/>
          <w:color w:val="auto"/>
          <w:sz w:val="34"/>
          <w:szCs w:val="34"/>
          <w:lang w:val="en-US" w:eastAsia="zh-CN"/>
        </w:rPr>
        <w:t>全面依法治区委员会办公室布置的各项任务，围绕行政执法突出工作、重点工作组织研究，</w:t>
      </w:r>
      <w:r>
        <w:rPr>
          <w:rFonts w:hint="eastAsia" w:ascii="仿宋_GB2312" w:hAnsi="仿宋_GB2312" w:eastAsia="仿宋_GB2312" w:cs="仿宋_GB2312"/>
          <w:color w:val="auto"/>
          <w:sz w:val="34"/>
          <w:szCs w:val="34"/>
          <w:rtl w:val="0"/>
          <w:lang w:val="en-US" w:eastAsia="zh-CN"/>
        </w:rPr>
        <w:t>落实《上海市城管执法局贯彻落实&lt;提升行政执法质量三年行动计划（2023-2025年）&gt;实施方案任务清单》。</w:t>
      </w:r>
    </w:p>
    <w:p w14:paraId="39496C61">
      <w:pPr>
        <w:keepNext w:val="0"/>
        <w:keepLines w:val="0"/>
        <w:pageBreakBefore w:val="0"/>
        <w:widowControl/>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kern w:val="0"/>
          <w:sz w:val="34"/>
          <w:szCs w:val="34"/>
          <w:lang w:val="en-US" w:eastAsia="zh-CN"/>
        </w:rPr>
      </w:pPr>
      <w:r>
        <w:rPr>
          <w:rFonts w:hint="eastAsia" w:ascii="仿宋_GB2312" w:hAnsi="仿宋_GB2312" w:eastAsia="仿宋_GB2312" w:cs="仿宋_GB2312"/>
          <w:kern w:val="0"/>
          <w:sz w:val="34"/>
          <w:szCs w:val="34"/>
          <w:lang w:val="en-US" w:eastAsia="zh-CN"/>
        </w:rPr>
        <w:t>二是依法行政，依法履职。截止今年11月20日，共办理人大建议4件，政协提案3件，均为满意。共办理信访件86件，接访50余人次，舆情33件，均按期办结。共计主动公开政府信息34条。其中，主动公开公文11件，公文公开率为100%。共收到申请总数8件，按照依申请办理工作全过程管理答复8件，办结率100%。</w:t>
      </w:r>
    </w:p>
    <w:p w14:paraId="48446924">
      <w:pPr>
        <w:keepNext w:val="0"/>
        <w:keepLines w:val="0"/>
        <w:pageBreakBefore w:val="0"/>
        <w:widowControl/>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kern w:val="0"/>
          <w:sz w:val="34"/>
          <w:szCs w:val="34"/>
          <w:lang w:val="en-US" w:eastAsia="zh-CN"/>
        </w:rPr>
      </w:pPr>
      <w:r>
        <w:rPr>
          <w:rFonts w:hint="eastAsia" w:ascii="仿宋_GB2312" w:hAnsi="仿宋_GB2312" w:eastAsia="仿宋_GB2312" w:cs="仿宋_GB2312"/>
          <w:kern w:val="0"/>
          <w:sz w:val="34"/>
          <w:szCs w:val="34"/>
          <w:lang w:val="en-US" w:eastAsia="zh-CN"/>
        </w:rPr>
        <w:t>三是深化行政改革，加强与街镇的各项沟通。根据街镇体制改革“1+5”文件要求，加快推进城管执法队伍革命化、正规化、专业化、职业化建设。</w:t>
      </w:r>
      <w:r>
        <w:rPr>
          <w:rFonts w:hint="eastAsia" w:ascii="仿宋_GB2312" w:hAnsi="仿宋_GB2312" w:eastAsia="仿宋_GB2312" w:cs="仿宋_GB2312"/>
          <w:b w:val="0"/>
          <w:bCs w:val="0"/>
          <w:sz w:val="34"/>
          <w:szCs w:val="34"/>
          <w:lang w:val="en-US" w:eastAsia="zh-CN"/>
        </w:rPr>
        <w:t>组织开展“依法行政指数”及“行政执法评议”解读、推进会，指导督促各街镇依法履职，提升街镇综合行政执法效能。</w:t>
      </w:r>
    </w:p>
    <w:p w14:paraId="08A27D33">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83" w:firstLineChars="200"/>
        <w:jc w:val="both"/>
        <w:textAlignment w:val="auto"/>
        <w:rPr>
          <w:rFonts w:hint="eastAsia" w:ascii="仿宋_GB2312" w:hAnsi="仿宋_GB2312" w:eastAsia="仿宋_GB2312" w:cs="仿宋_GB2312"/>
          <w:color w:val="auto"/>
          <w:sz w:val="34"/>
          <w:szCs w:val="34"/>
          <w:lang w:val="en-US" w:eastAsia="zh-CN"/>
        </w:rPr>
      </w:pPr>
      <w:r>
        <w:rPr>
          <w:rFonts w:hint="eastAsia" w:ascii="楷体_GB2312" w:hAnsi="楷体_GB2312" w:eastAsia="楷体_GB2312" w:cs="楷体_GB2312"/>
          <w:b/>
          <w:bCs/>
          <w:color w:val="auto"/>
          <w:sz w:val="34"/>
          <w:szCs w:val="34"/>
          <w:lang w:val="en-US" w:eastAsia="zh-CN"/>
        </w:rPr>
        <w:t>开展案卷评查，着力提高行政执法质量</w:t>
      </w:r>
    </w:p>
    <w:p w14:paraId="651D643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kern w:val="2"/>
          <w:sz w:val="34"/>
          <w:szCs w:val="34"/>
          <w:rtl w:val="0"/>
          <w:lang w:val="en-US" w:eastAsia="zh-CN" w:bidi="zh-CN"/>
        </w:rPr>
      </w:pPr>
      <w:r>
        <w:rPr>
          <w:rFonts w:hint="eastAsia" w:ascii="仿宋_GB2312" w:hAnsi="仿宋_GB2312" w:eastAsia="仿宋_GB2312" w:cs="仿宋_GB2312"/>
          <w:color w:val="auto"/>
          <w:sz w:val="34"/>
          <w:szCs w:val="34"/>
          <w:lang w:val="en-US" w:eastAsia="zh-CN"/>
        </w:rPr>
        <w:t xml:space="preserve">  </w:t>
      </w:r>
      <w:r>
        <w:rPr>
          <w:rFonts w:hint="eastAsia" w:ascii="仿宋_GB2312" w:hAnsi="仿宋_GB2312" w:eastAsia="仿宋_GB2312" w:cs="仿宋_GB2312"/>
          <w:color w:val="auto"/>
          <w:kern w:val="2"/>
          <w:sz w:val="34"/>
          <w:szCs w:val="34"/>
          <w:rtl w:val="0"/>
          <w:lang w:val="en-US" w:eastAsia="zh-CN" w:bidi="zh-CN"/>
        </w:rPr>
        <w:t>一是开展案卷评查。根据年初制定的案卷评查方案，以评查来促工作推进，以评查促案件研讨，以评查来促领域拓展，推进重大法核案件的培训工作全覆盖。每月开展一次案卷评查工作，从实体、程序、法律适用、裁量基准等方面，结合执法全过程记录情况全方位予以客观公正评查，并及时将评查结果及时通报给各街镇。</w:t>
      </w:r>
    </w:p>
    <w:p w14:paraId="7048A91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kern w:val="2"/>
          <w:sz w:val="34"/>
          <w:szCs w:val="34"/>
          <w:rtl w:val="0"/>
          <w:lang w:val="en-US" w:eastAsia="zh-CN" w:bidi="zh-CN"/>
        </w:rPr>
      </w:pPr>
      <w:r>
        <w:rPr>
          <w:rFonts w:hint="eastAsia" w:ascii="仿宋_GB2312" w:hAnsi="仿宋_GB2312" w:eastAsia="仿宋_GB2312" w:cs="仿宋_GB2312"/>
          <w:color w:val="auto"/>
          <w:kern w:val="2"/>
          <w:sz w:val="34"/>
          <w:szCs w:val="34"/>
          <w:rtl w:val="0"/>
          <w:lang w:val="en-US" w:eastAsia="zh-CN" w:bidi="zh-CN"/>
        </w:rPr>
        <w:t>二是积极参与市局组织的每月讲法活动。组织各街镇综合执法队集体观看每月讲法，以新执法事项、重点执法事项、行政诉讼复议内容为学习重点开展联学。</w:t>
      </w:r>
    </w:p>
    <w:p w14:paraId="04807B8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kern w:val="2"/>
          <w:sz w:val="34"/>
          <w:szCs w:val="34"/>
          <w:rtl w:val="0"/>
          <w:lang w:val="en-US" w:eastAsia="zh-CN" w:bidi="zh-CN"/>
        </w:rPr>
      </w:pPr>
      <w:r>
        <w:rPr>
          <w:rFonts w:hint="eastAsia" w:ascii="仿宋_GB2312" w:hAnsi="仿宋_GB2312" w:eastAsia="仿宋_GB2312" w:cs="仿宋_GB2312"/>
          <w:color w:val="auto"/>
          <w:kern w:val="2"/>
          <w:sz w:val="34"/>
          <w:szCs w:val="34"/>
          <w:rtl w:val="0"/>
          <w:lang w:val="en-US" w:eastAsia="zh-CN" w:bidi="zh-CN"/>
        </w:rPr>
        <w:t>三是推行“一综合执法队双讲师双课件”，鼓励综合执法队业务水平高、领导成员成为讲师，制作课件为系统内执法人员开展培训，促进业务交流，提升执法水平。</w:t>
      </w:r>
    </w:p>
    <w:p w14:paraId="6784BC4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kern w:val="2"/>
          <w:sz w:val="34"/>
          <w:szCs w:val="34"/>
          <w:rtl w:val="0"/>
          <w:lang w:val="en-US" w:eastAsia="zh-CN" w:bidi="zh-CN"/>
        </w:rPr>
      </w:pPr>
      <w:r>
        <w:rPr>
          <w:rFonts w:hint="eastAsia" w:ascii="仿宋_GB2312" w:hAnsi="仿宋_GB2312" w:eastAsia="仿宋_GB2312" w:cs="仿宋_GB2312"/>
          <w:color w:val="auto"/>
          <w:kern w:val="2"/>
          <w:sz w:val="34"/>
          <w:szCs w:val="34"/>
          <w:rtl w:val="0"/>
          <w:lang w:val="en-US" w:eastAsia="zh-CN" w:bidi="zh-CN"/>
        </w:rPr>
        <w:t>四是每年开展本区城管执法系统优秀案例评选，积极选树一批有代表性、有操作性、可推广的优秀执法案例，进一步规范行政执法行为，提升执法法治水平。创立区城管执法系统品牌“獬豸释案”优秀案例评选活动，已连续开展五年。</w:t>
      </w:r>
    </w:p>
    <w:p w14:paraId="4904117B">
      <w:pPr>
        <w:pStyle w:val="4"/>
        <w:keepNext w:val="0"/>
        <w:keepLines w:val="0"/>
        <w:pageBreakBefore w:val="0"/>
        <w:kinsoku/>
        <w:wordWrap/>
        <w:overflowPunct/>
        <w:topLinePunct w:val="0"/>
        <w:autoSpaceDE/>
        <w:autoSpaceDN/>
        <w:bidi w:val="0"/>
        <w:adjustRightInd/>
        <w:snapToGrid/>
        <w:spacing w:line="570" w:lineRule="exact"/>
        <w:ind w:firstLine="680" w:firstLineChars="200"/>
        <w:textAlignment w:val="auto"/>
        <w:rPr>
          <w:rFonts w:hint="eastAsia" w:eastAsia="仿宋"/>
          <w:lang w:val="en-US" w:eastAsia="zh-CN"/>
        </w:rPr>
      </w:pPr>
      <w:r>
        <w:rPr>
          <w:rFonts w:hint="eastAsia"/>
          <w:lang w:val="en-US" w:eastAsia="zh-CN"/>
        </w:rPr>
        <w:t>五是</w:t>
      </w:r>
      <w:r>
        <w:rPr>
          <w:rFonts w:hint="eastAsia" w:ascii="仿宋_GB2312" w:hAnsi="仿宋_GB2312" w:eastAsia="仿宋_GB2312" w:cs="仿宋_GB2312"/>
          <w:b w:val="0"/>
          <w:bCs w:val="0"/>
          <w:sz w:val="34"/>
          <w:szCs w:val="34"/>
          <w:lang w:val="en-US" w:eastAsia="zh-CN"/>
        </w:rPr>
        <w:t>研究制定执法监督工作方案，推进“三级督察”同向发力、高效运转。紧盯</w:t>
      </w:r>
      <w:r>
        <w:rPr>
          <w:rFonts w:hint="eastAsia" w:ascii="仿宋_GB2312" w:hAnsi="仿宋_GB2312" w:eastAsia="仿宋_GB2312" w:cs="仿宋_GB2312"/>
          <w:b w:val="0"/>
          <w:bCs w:val="0"/>
          <w:i w:val="0"/>
          <w:iCs w:val="0"/>
          <w:color w:val="auto"/>
          <w:sz w:val="34"/>
          <w:szCs w:val="34"/>
          <w:lang w:eastAsia="zh-CN"/>
        </w:rPr>
        <w:t>城管执法领域安全防范、街面实效、行为规范等重点领域，通过“红黄蓝”三色督察和“三单两书”预警机制，及时反馈督察发现问题，加大街镇共性和个性问题研判分析，督促中队落实整改，进一步规范基层中队执法办案和行为准则。</w:t>
      </w:r>
    </w:p>
    <w:p w14:paraId="05072A87">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83" w:firstLineChars="200"/>
        <w:jc w:val="both"/>
        <w:textAlignment w:val="auto"/>
        <w:rPr>
          <w:rFonts w:hint="eastAsia" w:ascii="楷体_GB2312" w:hAnsi="楷体_GB2312" w:eastAsia="楷体_GB2312" w:cs="楷体_GB2312"/>
          <w:b/>
          <w:bCs/>
          <w:color w:val="auto"/>
          <w:sz w:val="34"/>
          <w:szCs w:val="34"/>
          <w:lang w:val="en-US" w:eastAsia="zh-CN"/>
        </w:rPr>
      </w:pPr>
      <w:r>
        <w:rPr>
          <w:rFonts w:hint="eastAsia" w:ascii="楷体_GB2312" w:hAnsi="楷体_GB2312" w:eastAsia="楷体_GB2312" w:cs="楷体_GB2312"/>
          <w:b/>
          <w:bCs/>
          <w:color w:val="auto"/>
          <w:sz w:val="34"/>
          <w:szCs w:val="34"/>
          <w:lang w:val="en-US" w:eastAsia="zh-CN"/>
        </w:rPr>
        <w:t>落实普法责任制，有效提升普法质效</w:t>
      </w:r>
    </w:p>
    <w:p w14:paraId="6E235AB4">
      <w:pPr>
        <w:keepNext w:val="0"/>
        <w:keepLines w:val="0"/>
        <w:pageBreakBefore w:val="0"/>
        <w:widowControl w:val="0"/>
        <w:kinsoku/>
        <w:wordWrap/>
        <w:overflowPunct/>
        <w:topLinePunct w:val="0"/>
        <w:autoSpaceDE/>
        <w:autoSpaceDN/>
        <w:bidi w:val="0"/>
        <w:adjustRightInd/>
        <w:spacing w:line="570" w:lineRule="exact"/>
        <w:ind w:firstLine="680" w:firstLineChars="200"/>
        <w:textAlignment w:val="auto"/>
        <w:rPr>
          <w:rFonts w:hint="default" w:ascii="仿宋_GB2312" w:hAnsi="仿宋_GB2312" w:eastAsia="仿宋_GB2312" w:cs="仿宋_GB2312"/>
          <w:color w:val="auto"/>
          <w:kern w:val="2"/>
          <w:sz w:val="34"/>
          <w:szCs w:val="34"/>
          <w:highlight w:val="none"/>
          <w:lang w:val="en-US" w:eastAsia="zh-CN" w:bidi="ar-SA"/>
        </w:rPr>
      </w:pPr>
      <w:r>
        <w:rPr>
          <w:rFonts w:hint="eastAsia" w:ascii="仿宋_GB2312" w:hAnsi="仿宋_GB2312" w:eastAsia="仿宋_GB2312" w:cs="仿宋_GB2312"/>
          <w:color w:val="auto"/>
          <w:sz w:val="34"/>
          <w:szCs w:val="34"/>
          <w:lang w:val="en-US" w:eastAsia="zh-CN"/>
        </w:rPr>
        <w:t>一是推动“法润静安”项目，落实普法责任制。全面贯彻落实“八五普法”工作，持续推进“谁执法 谁普法”，做好关键节点、重要专题法治宣传工作</w:t>
      </w:r>
      <w:r>
        <w:rPr>
          <w:rFonts w:hint="eastAsia" w:ascii="仿宋_GB2312" w:hAnsi="仿宋_GB2312" w:eastAsia="仿宋_GB2312" w:cs="仿宋_GB2312"/>
          <w:color w:val="auto"/>
          <w:sz w:val="34"/>
          <w:szCs w:val="34"/>
          <w:highlight w:val="none"/>
          <w:lang w:val="en-US" w:eastAsia="zh-CN"/>
        </w:rPr>
        <w:t>。特别是连续五年组织开展的“獬豸释案”主题活动，得到各方好评。根据2024年度法治宣传计划开展相关活动，区局紧密加强与其他部门的相互合作，</w:t>
      </w:r>
      <w:bookmarkStart w:id="1" w:name="OLE_LINK2"/>
      <w:r>
        <w:rPr>
          <w:rFonts w:hint="eastAsia" w:ascii="仿宋_GB2312" w:hAnsi="仿宋_GB2312" w:eastAsia="仿宋_GB2312" w:cs="仿宋_GB2312"/>
          <w:color w:val="auto"/>
          <w:sz w:val="34"/>
          <w:szCs w:val="34"/>
          <w:highlight w:val="none"/>
          <w:lang w:val="en-US" w:eastAsia="zh-CN"/>
        </w:rPr>
        <w:t>分别在2月，开展了“筑梦静安 法治同行”——静安区2024年春运法治宣传咨询服务活动；</w:t>
      </w:r>
      <w:r>
        <w:rPr>
          <w:rFonts w:hint="eastAsia" w:ascii="仿宋_GB2312" w:hAnsi="仿宋_GB2312" w:eastAsia="仿宋_GB2312" w:cs="仿宋_GB2312"/>
          <w:color w:val="auto"/>
          <w:kern w:val="2"/>
          <w:sz w:val="34"/>
          <w:szCs w:val="34"/>
          <w:highlight w:val="none"/>
          <w:lang w:val="en-US" w:eastAsia="zh-CN" w:bidi="ar-SA"/>
        </w:rPr>
        <w:t>3月，开展学雷锋活动法宣以及“苏州河·世界水日”活动法宣；5月，开展“民法典宣传月”法制宣传活动；7月“7.15”城管公众开放日；9月“灯笼映月普‘绿</w:t>
      </w:r>
      <w:r>
        <w:rPr>
          <w:rFonts w:hint="default" w:ascii="仿宋_GB2312" w:hAnsi="仿宋_GB2312" w:eastAsia="仿宋_GB2312" w:cs="仿宋_GB2312"/>
          <w:color w:val="auto"/>
          <w:kern w:val="2"/>
          <w:sz w:val="34"/>
          <w:szCs w:val="34"/>
          <w:highlight w:val="none"/>
          <w:lang w:val="en-US" w:eastAsia="zh-CN" w:bidi="ar-SA"/>
        </w:rPr>
        <w:t>’</w:t>
      </w:r>
      <w:r>
        <w:rPr>
          <w:rFonts w:hint="eastAsia" w:ascii="仿宋_GB2312" w:hAnsi="仿宋_GB2312" w:eastAsia="仿宋_GB2312" w:cs="仿宋_GB2312"/>
          <w:color w:val="auto"/>
          <w:kern w:val="2"/>
          <w:sz w:val="34"/>
          <w:szCs w:val="34"/>
          <w:highlight w:val="none"/>
          <w:lang w:val="en-US" w:eastAsia="zh-CN" w:bidi="ar-SA"/>
        </w:rPr>
        <w:t>法，共聚中器度‘家’节；12月联合镇政府开展相关宪法宣传活动。</w:t>
      </w:r>
    </w:p>
    <w:bookmarkEnd w:id="1"/>
    <w:p w14:paraId="4DE0A7E9">
      <w:pPr>
        <w:keepNext w:val="0"/>
        <w:keepLines w:val="0"/>
        <w:pageBreakBefore w:val="0"/>
        <w:widowControl w:val="0"/>
        <w:kinsoku/>
        <w:wordWrap/>
        <w:overflowPunct/>
        <w:topLinePunct w:val="0"/>
        <w:autoSpaceDE/>
        <w:autoSpaceDN/>
        <w:bidi w:val="0"/>
        <w:adjustRightInd/>
        <w:spacing w:line="570" w:lineRule="exact"/>
        <w:ind w:firstLine="680" w:firstLineChars="200"/>
        <w:textAlignment w:val="auto"/>
        <w:rPr>
          <w:rFonts w:hint="eastAsia" w:ascii="仿宋_GB2312" w:hAnsi="仿宋_GB2312" w:eastAsia="仿宋_GB2312" w:cs="仿宋_GB2312"/>
          <w:color w:val="auto"/>
          <w:sz w:val="34"/>
          <w:szCs w:val="34"/>
          <w:highlight w:val="none"/>
          <w:lang w:val="en-US" w:eastAsia="zh-CN"/>
        </w:rPr>
      </w:pPr>
      <w:r>
        <w:rPr>
          <w:rFonts w:hint="eastAsia" w:ascii="仿宋_GB2312" w:hAnsi="仿宋_GB2312" w:eastAsia="仿宋_GB2312" w:cs="仿宋_GB2312"/>
          <w:color w:val="auto"/>
          <w:kern w:val="2"/>
          <w:sz w:val="34"/>
          <w:szCs w:val="34"/>
          <w:highlight w:val="none"/>
          <w:lang w:val="en-US" w:eastAsia="zh-CN" w:bidi="ar-SA"/>
        </w:rPr>
        <w:t>二是将劳模工作室结合</w:t>
      </w:r>
      <w:r>
        <w:rPr>
          <w:rFonts w:hint="eastAsia" w:ascii="仿宋_GB2312" w:hAnsi="仿宋_GB2312" w:eastAsia="仿宋_GB2312" w:cs="仿宋_GB2312"/>
          <w:color w:val="auto"/>
          <w:sz w:val="34"/>
          <w:szCs w:val="34"/>
          <w:highlight w:val="none"/>
          <w:lang w:val="en-US" w:eastAsia="zh-CN"/>
        </w:rPr>
        <w:t>“法润静安‘城’挚为民”法治品牌的打造，今年，贺斌劳模工作室成功设立了“静安区学生社会实践基地”以及“静安区学生劳动教育基地”，通过与相关单位的共建，建立了中器集团环保馆、街道图书馆志愿者岗、暑托班志愿者、未央学馆非遗文化志愿者、区城管执法局志愿者、区检察院志愿者等多个社会实践岗位，为46名学生提供405人次志愿实践机会，完成学时108小时。</w:t>
      </w:r>
    </w:p>
    <w:p w14:paraId="5C0C8211">
      <w:pPr>
        <w:pStyle w:val="2"/>
        <w:keepNext w:val="0"/>
        <w:keepLines w:val="0"/>
        <w:pageBreakBefore w:val="0"/>
        <w:widowControl w:val="0"/>
        <w:kinsoku/>
        <w:wordWrap/>
        <w:overflowPunct/>
        <w:topLinePunct w:val="0"/>
        <w:autoSpaceDE/>
        <w:autoSpaceDN/>
        <w:bidi w:val="0"/>
        <w:adjustRightInd/>
        <w:spacing w:line="570" w:lineRule="exact"/>
        <w:textAlignment w:val="auto"/>
        <w:rPr>
          <w:rFonts w:hint="eastAsia" w:ascii="楷体_GB2312" w:hAnsi="楷体_GB2312" w:eastAsia="楷体_GB2312" w:cs="楷体_GB2312"/>
          <w:b/>
          <w:bCs/>
          <w:color w:val="auto"/>
          <w:sz w:val="34"/>
          <w:szCs w:val="34"/>
          <w:lang w:val="en-US" w:eastAsia="zh-CN"/>
        </w:rPr>
      </w:pPr>
      <w:r>
        <w:rPr>
          <w:rFonts w:hint="eastAsia" w:ascii="楷体_GB2312" w:hAnsi="楷体_GB2312" w:eastAsia="楷体_GB2312" w:cs="楷体_GB2312"/>
          <w:b/>
          <w:bCs/>
          <w:color w:val="auto"/>
          <w:sz w:val="34"/>
          <w:szCs w:val="34"/>
          <w:lang w:val="en-US" w:eastAsia="zh-CN"/>
        </w:rPr>
        <w:t>（四）增强法治意识，强化协作同赢</w:t>
      </w:r>
    </w:p>
    <w:p w14:paraId="16821E96">
      <w:pPr>
        <w:pStyle w:val="2"/>
        <w:keepNext w:val="0"/>
        <w:keepLines w:val="0"/>
        <w:pageBreakBefore w:val="0"/>
        <w:widowControl w:val="0"/>
        <w:kinsoku/>
        <w:wordWrap/>
        <w:overflowPunct/>
        <w:topLinePunct w:val="0"/>
        <w:autoSpaceDE/>
        <w:autoSpaceDN/>
        <w:bidi w:val="0"/>
        <w:adjustRightInd/>
        <w:spacing w:line="570" w:lineRule="exact"/>
        <w:textAlignment w:val="auto"/>
        <w:rPr>
          <w:rFonts w:hint="eastAsia" w:ascii="仿宋_GB2312" w:hAnsi="仿宋_GB2312" w:eastAsia="仿宋_GB2312" w:cs="仿宋_GB2312"/>
          <w:color w:val="auto"/>
          <w:sz w:val="34"/>
          <w:szCs w:val="34"/>
          <w:highlight w:val="none"/>
          <w:lang w:val="en-US" w:eastAsia="zh-CN"/>
        </w:rPr>
      </w:pPr>
      <w:r>
        <w:rPr>
          <w:rFonts w:hint="eastAsia" w:ascii="仿宋_GB2312" w:hAnsi="仿宋_GB2312" w:eastAsia="仿宋_GB2312" w:cs="仿宋_GB2312"/>
          <w:color w:val="auto"/>
          <w:sz w:val="34"/>
          <w:szCs w:val="34"/>
          <w:lang w:val="en-US" w:eastAsia="zh-CN"/>
        </w:rPr>
        <w:t>一是不断加强法治政府建设，继续强化与相关兄弟区局以及本区相关职能部门的相互沟通联络，</w:t>
      </w:r>
      <w:r>
        <w:rPr>
          <w:rFonts w:hint="eastAsia" w:ascii="仿宋_GB2312" w:hAnsi="仿宋_GB2312" w:eastAsia="仿宋_GB2312" w:cs="仿宋_GB2312"/>
          <w:color w:val="auto"/>
          <w:sz w:val="34"/>
          <w:szCs w:val="34"/>
          <w:highlight w:val="none"/>
          <w:lang w:val="en-US" w:eastAsia="zh-CN"/>
        </w:rPr>
        <w:t>一方面对于就执法和管理中好的经验进行分享；另一方面从教育培训、联合法宣、案卷评查等内容进行深入的探讨。</w:t>
      </w:r>
    </w:p>
    <w:p w14:paraId="705956B7">
      <w:pPr>
        <w:pStyle w:val="2"/>
        <w:keepNext w:val="0"/>
        <w:keepLines w:val="0"/>
        <w:pageBreakBefore w:val="0"/>
        <w:kinsoku/>
        <w:wordWrap/>
        <w:overflowPunct/>
        <w:topLinePunct w:val="0"/>
        <w:autoSpaceDE/>
        <w:autoSpaceDN/>
        <w:bidi w:val="0"/>
        <w:adjustRightInd/>
        <w:spacing w:line="570" w:lineRule="exact"/>
        <w:textAlignment w:val="auto"/>
        <w:rPr>
          <w:rFonts w:hint="default"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highlight w:val="none"/>
          <w:lang w:val="en-US" w:eastAsia="zh-CN"/>
        </w:rPr>
        <w:t>二是充分发挥立法采集点作用。根据区人大法制委对今年立法采集点的工作要求，一方面加强与街道、镇人大的通力合作，保证立法采集工作更扎实；另一方面加强与其他立法采集点的相互融合相互学习，促进立法采集工作推进更深入。充分发挥城管系统资源优势，并征集法律顾问和意见汇总整理相关建议。</w:t>
      </w:r>
    </w:p>
    <w:p w14:paraId="5FA79364">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firstLine="680" w:firstLineChars="200"/>
        <w:jc w:val="both"/>
        <w:textAlignment w:val="auto"/>
        <w:rPr>
          <w:rFonts w:hint="eastAsia" w:ascii="黑体" w:hAnsi="黑体" w:eastAsia="黑体" w:cs="黑体"/>
          <w:color w:val="auto"/>
          <w:sz w:val="34"/>
          <w:szCs w:val="34"/>
          <w:lang w:val="en-US" w:eastAsia="zh-CN"/>
        </w:rPr>
      </w:pPr>
      <w:r>
        <w:rPr>
          <w:rFonts w:hint="eastAsia" w:ascii="黑体" w:hAnsi="黑体" w:eastAsia="黑体" w:cs="黑体"/>
          <w:color w:val="auto"/>
          <w:sz w:val="34"/>
          <w:szCs w:val="34"/>
          <w:lang w:val="en-US" w:eastAsia="zh-CN"/>
        </w:rPr>
        <w:t>落实《2024年静安区法治政府建设工作要点与责任分工》情况。</w:t>
      </w:r>
    </w:p>
    <w:p w14:paraId="6A2E166C">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 xml:space="preserve">    根据责任分工，现梳理情况如下：</w:t>
      </w:r>
    </w:p>
    <w:p w14:paraId="227CC055">
      <w:pPr>
        <w:pStyle w:val="4"/>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3" w:firstLineChars="200"/>
        <w:textAlignment w:val="auto"/>
        <w:rPr>
          <w:rFonts w:hint="eastAsia" w:ascii="楷体_GB2312" w:hAnsi="楷体_GB2312" w:eastAsia="楷体_GB2312" w:cs="楷体_GB2312"/>
          <w:b/>
          <w:bCs/>
          <w:color w:val="auto"/>
          <w:sz w:val="34"/>
          <w:szCs w:val="34"/>
          <w:lang w:val="en-US" w:eastAsia="zh-CN"/>
        </w:rPr>
      </w:pPr>
      <w:r>
        <w:rPr>
          <w:rFonts w:hint="eastAsia" w:ascii="楷体_GB2312" w:hAnsi="楷体_GB2312" w:eastAsia="楷体_GB2312" w:cs="楷体_GB2312"/>
          <w:b/>
          <w:bCs/>
          <w:color w:val="auto"/>
          <w:sz w:val="34"/>
          <w:szCs w:val="34"/>
          <w:lang w:val="en-US" w:eastAsia="zh-CN"/>
        </w:rPr>
        <w:t>（一）加强执法联动，深化事中事后监管</w:t>
      </w:r>
    </w:p>
    <w:p w14:paraId="3CD6F63A">
      <w:pPr>
        <w:pStyle w:val="4"/>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3" w:firstLineChars="200"/>
        <w:textAlignment w:val="auto"/>
        <w:rPr>
          <w:rFonts w:hint="eastAsia" w:ascii="仿宋_GB2312" w:eastAsia="仿宋_GB2312"/>
          <w:b/>
          <w:bCs/>
          <w:sz w:val="34"/>
          <w:szCs w:val="34"/>
          <w:lang w:val="en-US" w:eastAsia="zh-CN"/>
        </w:rPr>
      </w:pPr>
      <w:r>
        <w:rPr>
          <w:rFonts w:hint="eastAsia" w:ascii="仿宋_GB2312" w:eastAsia="仿宋_GB2312"/>
          <w:b/>
          <w:bCs/>
          <w:sz w:val="34"/>
          <w:szCs w:val="34"/>
          <w:lang w:val="en-US" w:eastAsia="zh-CN"/>
        </w:rPr>
        <w:t>（1）开展专项整治工作。</w:t>
      </w:r>
    </w:p>
    <w:p w14:paraId="0FFF8CBA">
      <w:pPr>
        <w:pStyle w:val="4"/>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000000"/>
          <w:kern w:val="0"/>
          <w:sz w:val="34"/>
          <w:szCs w:val="34"/>
          <w:highlight w:val="none"/>
          <w:lang w:val="en-US" w:eastAsia="zh-CN" w:bidi="ar"/>
        </w:rPr>
      </w:pPr>
      <w:r>
        <w:rPr>
          <w:rFonts w:hint="eastAsia" w:ascii="仿宋_GB2312" w:eastAsia="仿宋_GB2312"/>
          <w:b w:val="0"/>
          <w:bCs w:val="0"/>
          <w:sz w:val="34"/>
          <w:szCs w:val="34"/>
          <w:lang w:val="en-US" w:eastAsia="zh-CN"/>
        </w:rPr>
        <w:t>目前已开展“油烟扰民”专项整治工作、电动自行车安全治理专项整治行动、建筑垃圾、工程渣土执法保障、</w:t>
      </w:r>
      <w:r>
        <w:rPr>
          <w:rFonts w:hint="eastAsia" w:ascii="仿宋_GB2312" w:eastAsia="仿宋_GB2312" w:hAnsiTheme="minorHAnsi" w:cstheme="minorBidi"/>
          <w:b w:val="0"/>
          <w:bCs w:val="0"/>
          <w:kern w:val="2"/>
          <w:sz w:val="34"/>
          <w:szCs w:val="34"/>
          <w:lang w:val="en-US" w:eastAsia="zh-CN" w:bidi="ar-SA"/>
        </w:rPr>
        <w:t>违法户外广告设施市级督办工作</w:t>
      </w:r>
      <w:r>
        <w:rPr>
          <w:rFonts w:hint="eastAsia" w:ascii="仿宋_GB2312" w:eastAsia="仿宋_GB2312" w:cstheme="minorBidi"/>
          <w:b w:val="0"/>
          <w:bCs w:val="0"/>
          <w:kern w:val="2"/>
          <w:sz w:val="34"/>
          <w:szCs w:val="34"/>
          <w:lang w:val="en-US" w:eastAsia="zh-CN" w:bidi="ar-SA"/>
        </w:rPr>
        <w:t>等</w:t>
      </w:r>
      <w:r>
        <w:rPr>
          <w:rFonts w:hint="eastAsia" w:cstheme="minorBidi"/>
          <w:b w:val="0"/>
          <w:bCs w:val="0"/>
          <w:kern w:val="2"/>
          <w:sz w:val="34"/>
          <w:szCs w:val="34"/>
          <w:lang w:val="en-US" w:eastAsia="zh-CN" w:bidi="ar-SA"/>
        </w:rPr>
        <w:t>。</w:t>
      </w:r>
      <w:r>
        <w:rPr>
          <w:rFonts w:hint="eastAsia" w:ascii="仿宋_GB2312" w:hAnsi="仿宋_GB2312" w:eastAsia="仿宋_GB2312" w:cs="仿宋_GB2312"/>
          <w:kern w:val="0"/>
          <w:sz w:val="34"/>
          <w:szCs w:val="34"/>
          <w:lang w:val="en-US" w:eastAsia="zh-CN"/>
        </w:rPr>
        <w:t>指导中队加强对市民群众反映集中的重点区域开展执法整治，依托执法监管对象库和上海城管APP专项执法行动模块，</w:t>
      </w:r>
      <w:r>
        <w:rPr>
          <w:rFonts w:hint="eastAsia" w:cs="仿宋_GB2312"/>
          <w:kern w:val="0"/>
          <w:sz w:val="34"/>
          <w:szCs w:val="34"/>
          <w:lang w:val="en-US" w:eastAsia="zh-CN"/>
        </w:rPr>
        <w:t>逐步消除油烟、建筑垃圾等影响居民生活环境的不良隐患。</w:t>
      </w:r>
    </w:p>
    <w:p w14:paraId="583D129A">
      <w:pPr>
        <w:pStyle w:val="2"/>
        <w:keepNext w:val="0"/>
        <w:keepLines w:val="0"/>
        <w:pageBreakBefore w:val="0"/>
        <w:widowControl w:val="0"/>
        <w:numPr>
          <w:ilvl w:val="0"/>
          <w:numId w:val="3"/>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b/>
          <w:bCs/>
          <w:kern w:val="2"/>
          <w:sz w:val="34"/>
          <w:szCs w:val="34"/>
          <w:rtl w:val="0"/>
          <w:lang w:val="en-US" w:eastAsia="zh-CN" w:bidi="ar-SA"/>
        </w:rPr>
      </w:pPr>
      <w:r>
        <w:rPr>
          <w:rFonts w:hint="eastAsia" w:ascii="仿宋_GB2312" w:hAnsi="仿宋_GB2312" w:eastAsia="仿宋_GB2312" w:cs="仿宋_GB2312"/>
          <w:b/>
          <w:bCs/>
          <w:kern w:val="2"/>
          <w:sz w:val="34"/>
          <w:szCs w:val="34"/>
          <w:rtl w:val="0"/>
          <w:lang w:val="en-US" w:eastAsia="zh-CN" w:bidi="ar-SA"/>
        </w:rPr>
        <w:t>规范投诉工单处置工作。</w:t>
      </w:r>
    </w:p>
    <w:p w14:paraId="72983D5E">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000000"/>
          <w:kern w:val="0"/>
          <w:sz w:val="34"/>
          <w:szCs w:val="34"/>
          <w:rtl w:val="0"/>
          <w:lang w:val="en-US" w:eastAsia="zh-CN" w:bidi="ar"/>
        </w:rPr>
      </w:pPr>
      <w:r>
        <w:rPr>
          <w:rFonts w:hint="eastAsia" w:ascii="仿宋_GB2312" w:hAnsi="仿宋_GB2312" w:eastAsia="仿宋_GB2312" w:cs="仿宋_GB2312"/>
          <w:color w:val="000000"/>
          <w:kern w:val="0"/>
          <w:sz w:val="34"/>
          <w:szCs w:val="34"/>
          <w:rtl w:val="0"/>
          <w:lang w:val="en-US" w:eastAsia="zh-CN" w:bidi="ar"/>
        </w:rPr>
        <w:t>依托市民服务热线、城管诉件处置等工单承办平台，指导街镇综合行政执法队持续规范诉件受理、处置、办结、退单等办理环节，及时高效做好工单流转操作和诉求核查处置，耐心细致做好反映人先行联系和处置答复。对诉件办理情况进行抽查监督，继续加大投诉工作督导力度，持续推进诉件质量抽查工作，及时根据热线通报进行核查，着力推动诉求规范有效解决。</w:t>
      </w:r>
    </w:p>
    <w:p w14:paraId="78D5F65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3" w:firstLineChars="200"/>
        <w:textAlignment w:val="auto"/>
        <w:rPr>
          <w:rFonts w:hint="eastAsia" w:ascii="仿宋_GB2312" w:hAnsi="仿宋_GB2312" w:eastAsia="仿宋_GB2312" w:cs="仿宋_GB2312"/>
          <w:b/>
          <w:bCs/>
          <w:color w:val="auto"/>
          <w:kern w:val="2"/>
          <w:sz w:val="34"/>
          <w:szCs w:val="34"/>
          <w:rtl w:val="0"/>
          <w:lang w:val="en-US" w:eastAsia="zh-CN" w:bidi="zh-CN"/>
        </w:rPr>
      </w:pPr>
      <w:r>
        <w:rPr>
          <w:rFonts w:hint="eastAsia" w:ascii="仿宋_GB2312" w:hAnsi="仿宋_GB2312" w:eastAsia="仿宋_GB2312" w:cs="仿宋_GB2312"/>
          <w:b/>
          <w:bCs/>
          <w:color w:val="auto"/>
          <w:kern w:val="2"/>
          <w:sz w:val="34"/>
          <w:szCs w:val="34"/>
          <w:rtl w:val="0"/>
          <w:lang w:val="en-US" w:eastAsia="zh-CN" w:bidi="zh-CN"/>
        </w:rPr>
        <w:t>（3）拓宽城管社区工作室功能。</w:t>
      </w:r>
    </w:p>
    <w:p w14:paraId="4882AAD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textAlignment w:val="auto"/>
        <w:rPr>
          <w:rFonts w:hint="default"/>
          <w:lang w:val="en-US" w:eastAsia="zh-CN"/>
        </w:rPr>
      </w:pPr>
      <w:r>
        <w:rPr>
          <w:rFonts w:hint="eastAsia" w:ascii="仿宋_GB2312" w:hAnsi="仿宋_GB2312" w:eastAsia="仿宋_GB2312" w:cs="仿宋_GB2312"/>
          <w:color w:val="auto"/>
          <w:kern w:val="2"/>
          <w:sz w:val="34"/>
          <w:szCs w:val="34"/>
          <w:rtl w:val="0"/>
          <w:lang w:val="en-US" w:eastAsia="zh-CN" w:bidi="zh-CN"/>
        </w:rPr>
        <w:t>依托城管社区工作室全覆盖，构建综合执法与基层自治组织的对接机制，通过将执法关口前移，主动倾听居民呼声，受理群众咨询、投诉和求助，把城市管理工作“触角”不断延伸至社区基层“末梢神经”。同时，为进一步拓宽服务维度，在石门二路街道试点成立全市首家楼宇工作室，将法治观察点、立法意见收集点、人民意见征集点、普法宣传点、行政事务办理指导点功能汇聚成“五位一体”为楼宇企业、白领提供更多便利服务举措。</w:t>
      </w:r>
    </w:p>
    <w:p w14:paraId="39A8236F">
      <w:pPr>
        <w:keepNext w:val="0"/>
        <w:keepLines w:val="0"/>
        <w:pageBreakBefore w:val="0"/>
        <w:widowControl w:val="0"/>
        <w:numPr>
          <w:ilvl w:val="0"/>
          <w:numId w:val="4"/>
        </w:numPr>
        <w:kinsoku/>
        <w:wordWrap/>
        <w:overflowPunct/>
        <w:topLinePunct w:val="0"/>
        <w:autoSpaceDE/>
        <w:autoSpaceDN/>
        <w:bidi w:val="0"/>
        <w:adjustRightInd/>
        <w:snapToGrid/>
        <w:spacing w:line="570" w:lineRule="exact"/>
        <w:ind w:firstLine="680"/>
        <w:jc w:val="both"/>
        <w:textAlignment w:val="auto"/>
        <w:rPr>
          <w:rFonts w:hint="eastAsia" w:ascii="楷体_GB2312" w:hAnsi="楷体_GB2312" w:eastAsia="楷体_GB2312" w:cs="楷体_GB2312"/>
          <w:b/>
          <w:bCs/>
          <w:color w:val="auto"/>
          <w:sz w:val="34"/>
          <w:szCs w:val="34"/>
          <w:lang w:val="en-US" w:eastAsia="zh-CN"/>
        </w:rPr>
      </w:pPr>
      <w:r>
        <w:rPr>
          <w:rFonts w:hint="eastAsia" w:ascii="楷体_GB2312" w:hAnsi="楷体_GB2312" w:eastAsia="楷体_GB2312" w:cs="楷体_GB2312"/>
          <w:b/>
          <w:bCs/>
          <w:color w:val="auto"/>
          <w:sz w:val="34"/>
          <w:szCs w:val="34"/>
          <w:lang w:val="en-US" w:eastAsia="zh-CN"/>
        </w:rPr>
        <w:t>管执协同、高效沟通、助推基层行政执法</w:t>
      </w:r>
    </w:p>
    <w:p w14:paraId="1DF52C9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3" w:firstLineChars="200"/>
        <w:textAlignment w:val="auto"/>
        <w:rPr>
          <w:rFonts w:hint="eastAsia" w:ascii="仿宋_GB2312" w:hAnsi="仿宋_GB2312" w:eastAsia="仿宋_GB2312" w:cs="仿宋_GB2312"/>
          <w:color w:val="auto"/>
          <w:kern w:val="2"/>
          <w:sz w:val="34"/>
          <w:szCs w:val="34"/>
          <w:rtl w:val="0"/>
          <w:lang w:val="en-US" w:eastAsia="zh-CN" w:bidi="zh-CN"/>
        </w:rPr>
      </w:pPr>
      <w:r>
        <w:rPr>
          <w:rFonts w:hint="default" w:ascii="仿宋_GB2312" w:hAnsi="仿宋_GB2312" w:eastAsia="仿宋_GB2312" w:cs="仿宋_GB2312"/>
          <w:b/>
          <w:bCs/>
          <w:color w:val="auto"/>
          <w:kern w:val="2"/>
          <w:sz w:val="34"/>
          <w:szCs w:val="34"/>
          <w:rtl w:val="0"/>
          <w:lang w:val="en-US" w:eastAsia="zh-CN" w:bidi="zh-CN"/>
        </w:rPr>
        <w:t>（1）</w:t>
      </w:r>
      <w:r>
        <w:rPr>
          <w:rFonts w:hint="eastAsia" w:ascii="仿宋_GB2312" w:hAnsi="仿宋_GB2312" w:eastAsia="仿宋_GB2312" w:cs="仿宋_GB2312"/>
          <w:b/>
          <w:bCs/>
          <w:color w:val="auto"/>
          <w:kern w:val="2"/>
          <w:sz w:val="34"/>
          <w:szCs w:val="34"/>
          <w:rtl w:val="0"/>
          <w:lang w:val="en-US" w:eastAsia="zh-CN" w:bidi="zh-CN"/>
        </w:rPr>
        <w:t>增强职能部门联动协作机制。</w:t>
      </w:r>
    </w:p>
    <w:p w14:paraId="4A97C6A2">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color w:val="auto"/>
          <w:kern w:val="2"/>
          <w:sz w:val="34"/>
          <w:szCs w:val="34"/>
          <w:rtl w:val="0"/>
          <w:lang w:val="en-US" w:eastAsia="zh-CN" w:bidi="zh-CN"/>
        </w:rPr>
      </w:pPr>
      <w:r>
        <w:rPr>
          <w:rFonts w:hint="eastAsia" w:ascii="仿宋_GB2312" w:hAnsi="仿宋_GB2312" w:eastAsia="仿宋_GB2312" w:cs="仿宋_GB2312"/>
          <w:color w:val="auto"/>
          <w:kern w:val="2"/>
          <w:sz w:val="34"/>
          <w:szCs w:val="34"/>
          <w:rtl w:val="0"/>
          <w:lang w:val="en-US" w:eastAsia="zh-CN" w:bidi="zh-CN"/>
        </w:rPr>
        <w:t>召开联席会议，畅通信息交流，共同研讨新增执法事项、重点执法领域和当前执法难点堵点问题，形成工作合力。开展联合执法，加强跨区域、跨部门执法协作，围绕“千亿商圈”、住宅小区等重点地区，市政道路、在建工地等重点领域，法定节假日、活动庆典等重要节点，通过联勤联动、联合惩戒等管理模式，维护经济社会秩序有序发展。</w:t>
      </w:r>
    </w:p>
    <w:p w14:paraId="675D7C84">
      <w:pPr>
        <w:keepNext w:val="0"/>
        <w:keepLines w:val="0"/>
        <w:pageBreakBefore w:val="0"/>
        <w:numPr>
          <w:ilvl w:val="0"/>
          <w:numId w:val="0"/>
        </w:numPr>
        <w:kinsoku/>
        <w:wordWrap/>
        <w:overflowPunct/>
        <w:topLinePunct w:val="0"/>
        <w:autoSpaceDE/>
        <w:autoSpaceDN/>
        <w:bidi w:val="0"/>
        <w:adjustRightInd/>
        <w:spacing w:line="570" w:lineRule="exact"/>
        <w:ind w:left="0" w:leftChars="0" w:firstLine="683" w:firstLineChars="200"/>
        <w:textAlignment w:val="auto"/>
        <w:rPr>
          <w:rFonts w:hint="eastAsia" w:ascii="仿宋_GB2312" w:hAnsi="仿宋_GB2312" w:eastAsia="仿宋_GB2312" w:cs="仿宋_GB2312"/>
          <w:b/>
          <w:bCs/>
          <w:color w:val="auto"/>
          <w:sz w:val="34"/>
          <w:szCs w:val="34"/>
        </w:rPr>
      </w:pPr>
      <w:r>
        <w:rPr>
          <w:rFonts w:hint="default" w:ascii="仿宋_GB2312" w:hAnsi="仿宋_GB2312" w:eastAsia="仿宋_GB2312" w:cs="仿宋_GB2312"/>
          <w:b/>
          <w:bCs/>
          <w:color w:val="auto"/>
          <w:kern w:val="2"/>
          <w:sz w:val="34"/>
          <w:szCs w:val="34"/>
          <w:lang w:val="en-US" w:eastAsia="zh-CN" w:bidi="ar-SA"/>
        </w:rPr>
        <w:t>（2）</w:t>
      </w:r>
      <w:r>
        <w:rPr>
          <w:rFonts w:hint="eastAsia" w:ascii="仿宋_GB2312" w:hAnsi="仿宋_GB2312" w:eastAsia="仿宋_GB2312" w:cs="仿宋_GB2312"/>
          <w:b/>
          <w:bCs/>
          <w:color w:val="auto"/>
          <w:sz w:val="34"/>
          <w:szCs w:val="34"/>
        </w:rPr>
        <w:t>对各</w:t>
      </w:r>
      <w:r>
        <w:rPr>
          <w:rFonts w:hint="eastAsia" w:ascii="仿宋_GB2312" w:hAnsi="仿宋_GB2312" w:eastAsia="仿宋_GB2312" w:cs="仿宋_GB2312"/>
          <w:b/>
          <w:bCs/>
          <w:color w:val="auto"/>
          <w:sz w:val="34"/>
          <w:szCs w:val="34"/>
          <w:lang w:val="en-US" w:eastAsia="zh-CN"/>
        </w:rPr>
        <w:t>街镇</w:t>
      </w:r>
      <w:r>
        <w:rPr>
          <w:rFonts w:hint="eastAsia" w:ascii="仿宋_GB2312" w:hAnsi="仿宋_GB2312" w:eastAsia="仿宋_GB2312" w:cs="仿宋_GB2312"/>
          <w:b/>
          <w:bCs/>
          <w:color w:val="auto"/>
          <w:sz w:val="34"/>
          <w:szCs w:val="34"/>
        </w:rPr>
        <w:t>综合</w:t>
      </w:r>
      <w:r>
        <w:rPr>
          <w:rFonts w:hint="eastAsia" w:ascii="仿宋_GB2312" w:hAnsi="仿宋_GB2312" w:eastAsia="仿宋_GB2312" w:cs="仿宋_GB2312"/>
          <w:b/>
          <w:bCs/>
          <w:color w:val="auto"/>
          <w:sz w:val="34"/>
          <w:szCs w:val="34"/>
          <w:lang w:val="en-US" w:eastAsia="zh-CN"/>
        </w:rPr>
        <w:t>行政</w:t>
      </w:r>
      <w:r>
        <w:rPr>
          <w:rFonts w:hint="eastAsia" w:ascii="仿宋_GB2312" w:hAnsi="仿宋_GB2312" w:eastAsia="仿宋_GB2312" w:cs="仿宋_GB2312"/>
          <w:b/>
          <w:bCs/>
          <w:color w:val="auto"/>
          <w:sz w:val="34"/>
          <w:szCs w:val="34"/>
        </w:rPr>
        <w:t>执法队办案进行指导。</w:t>
      </w:r>
    </w:p>
    <w:p w14:paraId="3BA15DD4">
      <w:pPr>
        <w:keepNext w:val="0"/>
        <w:keepLines w:val="0"/>
        <w:pageBreakBefore w:val="0"/>
        <w:numPr>
          <w:ilvl w:val="0"/>
          <w:numId w:val="0"/>
        </w:numPr>
        <w:kinsoku/>
        <w:wordWrap/>
        <w:overflowPunct/>
        <w:topLinePunct w:val="0"/>
        <w:autoSpaceDE/>
        <w:autoSpaceDN/>
        <w:bidi w:val="0"/>
        <w:adjustRightInd/>
        <w:spacing w:line="570" w:lineRule="exact"/>
        <w:ind w:firstLine="680" w:firstLineChars="200"/>
        <w:textAlignment w:val="auto"/>
        <w:rPr>
          <w:rFonts w:hint="default" w:ascii="仿宋_GB2312" w:hAnsi="仿宋_GB2312" w:eastAsia="仿宋_GB2312" w:cs="仿宋_GB2312"/>
          <w:color w:val="auto"/>
          <w:sz w:val="34"/>
          <w:szCs w:val="34"/>
          <w:lang w:val="en-US" w:eastAsia="zh-CN"/>
        </w:rPr>
      </w:pPr>
      <w:r>
        <w:rPr>
          <w:rFonts w:hint="eastAsia" w:ascii="仿宋_GB2312" w:hAnsi="仿宋_GB2312" w:eastAsia="仿宋_GB2312" w:cs="仿宋_GB2312"/>
          <w:b w:val="0"/>
          <w:bCs w:val="0"/>
          <w:color w:val="auto"/>
          <w:sz w:val="34"/>
          <w:szCs w:val="34"/>
          <w:lang w:eastAsia="zh-CN"/>
        </w:rPr>
        <w:t>一是</w:t>
      </w:r>
      <w:r>
        <w:rPr>
          <w:rFonts w:hint="eastAsia" w:ascii="仿宋_GB2312" w:hAnsi="仿宋_GB2312" w:eastAsia="仿宋_GB2312" w:cs="仿宋_GB2312"/>
          <w:color w:val="auto"/>
          <w:sz w:val="34"/>
          <w:szCs w:val="34"/>
          <w:lang w:val="en-US" w:eastAsia="zh-CN"/>
        </w:rPr>
        <w:t>通过现场指导、电话交流、微信沟通等方式</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帮助</w:t>
      </w:r>
      <w:r>
        <w:rPr>
          <w:rFonts w:hint="eastAsia" w:ascii="仿宋_GB2312" w:hAnsi="仿宋_GB2312" w:eastAsia="仿宋_GB2312" w:cs="仿宋_GB2312"/>
          <w:color w:val="auto"/>
          <w:sz w:val="34"/>
          <w:szCs w:val="34"/>
          <w:lang w:val="en-US" w:eastAsia="zh-CN"/>
        </w:rPr>
        <w:t>执法</w:t>
      </w:r>
      <w:r>
        <w:rPr>
          <w:rFonts w:hint="eastAsia" w:ascii="仿宋_GB2312" w:hAnsi="仿宋_GB2312" w:eastAsia="仿宋_GB2312" w:cs="仿宋_GB2312"/>
          <w:color w:val="auto"/>
          <w:sz w:val="34"/>
          <w:szCs w:val="34"/>
        </w:rPr>
        <w:t>队把握案件办理的认定、取证</w:t>
      </w:r>
      <w:r>
        <w:rPr>
          <w:rFonts w:hint="eastAsia" w:ascii="仿宋_GB2312" w:hAnsi="仿宋_GB2312" w:eastAsia="仿宋_GB2312" w:cs="仿宋_GB2312"/>
          <w:color w:val="auto"/>
          <w:sz w:val="34"/>
          <w:szCs w:val="34"/>
          <w:lang w:val="en-US" w:eastAsia="zh-CN"/>
        </w:rPr>
        <w:t>等</w:t>
      </w:r>
      <w:r>
        <w:rPr>
          <w:rFonts w:hint="eastAsia" w:ascii="仿宋_GB2312" w:hAnsi="仿宋_GB2312" w:eastAsia="仿宋_GB2312" w:cs="仿宋_GB2312"/>
          <w:color w:val="auto"/>
          <w:sz w:val="34"/>
          <w:szCs w:val="34"/>
        </w:rPr>
        <w:t>问题</w:t>
      </w:r>
      <w:r>
        <w:rPr>
          <w:rFonts w:hint="eastAsia" w:ascii="仿宋_GB2312" w:hAnsi="仿宋_GB2312" w:eastAsia="仿宋_GB2312" w:cs="仿宋_GB2312"/>
          <w:color w:val="auto"/>
          <w:sz w:val="34"/>
          <w:szCs w:val="34"/>
          <w:lang w:eastAsia="zh-CN"/>
        </w:rPr>
        <w:t>；二是</w:t>
      </w:r>
      <w:r>
        <w:rPr>
          <w:rFonts w:hint="eastAsia" w:ascii="仿宋_GB2312" w:hAnsi="仿宋_GB2312" w:eastAsia="仿宋_GB2312" w:cs="仿宋_GB2312"/>
          <w:color w:val="auto"/>
          <w:sz w:val="34"/>
          <w:szCs w:val="34"/>
          <w:lang w:val="en-US" w:eastAsia="zh-CN"/>
        </w:rPr>
        <w:t>强化复议诉讼案件的应对指导；三是</w:t>
      </w:r>
      <w:r>
        <w:rPr>
          <w:rFonts w:hint="eastAsia" w:ascii="仿宋_GB2312" w:hAnsi="仿宋_GB2312" w:eastAsia="仿宋_GB2312" w:cs="仿宋_GB2312"/>
          <w:color w:val="auto"/>
          <w:spacing w:val="-8"/>
          <w:kern w:val="0"/>
          <w:sz w:val="34"/>
          <w:szCs w:val="34"/>
          <w:highlight w:val="none"/>
          <w:lang w:val="en-US" w:eastAsia="zh-CN"/>
        </w:rPr>
        <w:t>结合全年街道乡镇综合执法依法行政指数评估以及全区街镇行政执法评议的工作要求，区城管执法局组织各街镇开展解读、推进、总结会，帮助各街镇稳步推进综合体制改革和深化促进行政执法工作提升。</w:t>
      </w:r>
    </w:p>
    <w:p w14:paraId="50CD493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jc w:val="both"/>
        <w:textAlignment w:val="auto"/>
        <w:rPr>
          <w:rFonts w:hint="eastAsia" w:ascii="楷体_GB2312" w:hAnsi="楷体_GB2312" w:eastAsia="楷体_GB2312" w:cs="楷体_GB2312"/>
          <w:b/>
          <w:bCs/>
          <w:color w:val="auto"/>
          <w:sz w:val="34"/>
          <w:szCs w:val="34"/>
          <w:lang w:val="en-US" w:eastAsia="zh-CN"/>
        </w:rPr>
      </w:pPr>
      <w:r>
        <w:rPr>
          <w:rFonts w:hint="eastAsia" w:ascii="楷体_GB2312" w:hAnsi="楷体_GB2312" w:eastAsia="楷体_GB2312" w:cs="楷体_GB2312"/>
          <w:b/>
          <w:bCs/>
          <w:color w:val="auto"/>
          <w:sz w:val="34"/>
          <w:szCs w:val="34"/>
          <w:lang w:val="en-US" w:eastAsia="zh-CN"/>
        </w:rPr>
        <w:t>（三）提升拆违工作法治意识，优化协作机制</w:t>
      </w:r>
    </w:p>
    <w:p w14:paraId="3F2BFA0F">
      <w:pPr>
        <w:pStyle w:val="2"/>
        <w:keepNext w:val="0"/>
        <w:keepLines w:val="0"/>
        <w:pageBreakBefore w:val="0"/>
        <w:kinsoku/>
        <w:wordWrap/>
        <w:overflowPunct/>
        <w:topLinePunct w:val="0"/>
        <w:autoSpaceDE/>
        <w:autoSpaceDN/>
        <w:bidi w:val="0"/>
        <w:adjustRightInd/>
        <w:spacing w:line="570" w:lineRule="exact"/>
        <w:textAlignment w:val="auto"/>
        <w:rPr>
          <w:rFonts w:hint="eastAsia" w:ascii="仿宋_GB2312" w:hAnsi="仿宋_GB2312" w:eastAsia="仿宋_GB2312" w:cs="仿宋_GB2312"/>
          <w:color w:val="auto"/>
          <w:spacing w:val="-8"/>
          <w:kern w:val="0"/>
          <w:sz w:val="34"/>
          <w:szCs w:val="34"/>
          <w:highlight w:val="none"/>
          <w:lang w:val="en-US" w:eastAsia="zh-CN" w:bidi="ar-SA"/>
        </w:rPr>
      </w:pPr>
      <w:r>
        <w:rPr>
          <w:rFonts w:hint="default" w:ascii="仿宋_GB2312" w:hAnsi="仿宋_GB2312" w:eastAsia="仿宋_GB2312" w:cs="仿宋_GB2312"/>
          <w:color w:val="auto"/>
          <w:spacing w:val="-8"/>
          <w:kern w:val="0"/>
          <w:sz w:val="34"/>
          <w:szCs w:val="34"/>
          <w:highlight w:val="none"/>
          <w:lang w:val="en-US" w:eastAsia="zh-CN" w:bidi="ar-SA"/>
        </w:rPr>
        <w:t>一是精心整理并汇编了与违建治理相关的法条、文件和典型案例，形成《违建治理案例数据库》，涵盖了最新法律法规，并结合过往实际案例，为一线工作人员提供参考和借鉴。同时，通过图文并茂方式，将复杂的法律条文和专业的治理知识转化为通俗易懂的语言，使广大居民群众也能轻松理解并支持我区拆违工作</w:t>
      </w:r>
      <w:r>
        <w:rPr>
          <w:rFonts w:hint="eastAsia" w:ascii="仿宋_GB2312" w:hAnsi="仿宋_GB2312" w:eastAsia="仿宋_GB2312" w:cs="仿宋_GB2312"/>
          <w:color w:val="auto"/>
          <w:spacing w:val="-8"/>
          <w:kern w:val="0"/>
          <w:sz w:val="34"/>
          <w:szCs w:val="34"/>
          <w:highlight w:val="none"/>
          <w:lang w:val="en-US" w:eastAsia="zh-CN" w:bidi="ar-SA"/>
        </w:rPr>
        <w:t>。</w:t>
      </w:r>
    </w:p>
    <w:p w14:paraId="0888A6EA">
      <w:pPr>
        <w:pStyle w:val="2"/>
        <w:keepNext w:val="0"/>
        <w:keepLines w:val="0"/>
        <w:pageBreakBefore w:val="0"/>
        <w:kinsoku/>
        <w:wordWrap/>
        <w:overflowPunct/>
        <w:topLinePunct w:val="0"/>
        <w:autoSpaceDE/>
        <w:autoSpaceDN/>
        <w:bidi w:val="0"/>
        <w:adjustRightInd/>
        <w:spacing w:line="570" w:lineRule="exact"/>
        <w:textAlignment w:val="auto"/>
        <w:rPr>
          <w:rFonts w:hint="default" w:ascii="仿宋_GB2312" w:hAnsi="仿宋_GB2312" w:eastAsia="仿宋_GB2312" w:cs="仿宋_GB2312"/>
          <w:color w:val="auto"/>
          <w:spacing w:val="-8"/>
          <w:kern w:val="0"/>
          <w:sz w:val="34"/>
          <w:szCs w:val="34"/>
          <w:highlight w:val="none"/>
          <w:lang w:val="en-US" w:eastAsia="zh-CN" w:bidi="ar-SA"/>
        </w:rPr>
      </w:pPr>
      <w:r>
        <w:rPr>
          <w:rFonts w:hint="default" w:ascii="仿宋_GB2312" w:hAnsi="仿宋_GB2312" w:eastAsia="仿宋_GB2312" w:cs="仿宋_GB2312"/>
          <w:color w:val="auto"/>
          <w:spacing w:val="-8"/>
          <w:kern w:val="0"/>
          <w:sz w:val="34"/>
          <w:szCs w:val="34"/>
          <w:highlight w:val="none"/>
          <w:lang w:val="en-US" w:eastAsia="zh-CN" w:bidi="ar-SA"/>
        </w:rPr>
        <w:t>二是充分利用各种宣传渠道和载体，定期在全区各居村张贴违建治理政策法规科普海报，从普法角度，生动诠释了违法搭建的危害性；向市拆违专办、市级媒体报送优秀工作案例</w:t>
      </w:r>
      <w:r>
        <w:rPr>
          <w:rFonts w:hint="eastAsia" w:ascii="仿宋_GB2312" w:hAnsi="仿宋_GB2312" w:eastAsia="仿宋_GB2312" w:cs="仿宋_GB2312"/>
          <w:color w:val="auto"/>
          <w:spacing w:val="-8"/>
          <w:kern w:val="0"/>
          <w:sz w:val="34"/>
          <w:szCs w:val="34"/>
          <w:highlight w:val="none"/>
          <w:lang w:val="en-US" w:eastAsia="zh-CN" w:bidi="ar-SA"/>
        </w:rPr>
        <w:t>，</w:t>
      </w:r>
      <w:r>
        <w:rPr>
          <w:rFonts w:hint="default" w:ascii="仿宋_GB2312" w:hAnsi="仿宋_GB2312" w:eastAsia="仿宋_GB2312" w:cs="仿宋_GB2312"/>
          <w:color w:val="auto"/>
          <w:spacing w:val="-8"/>
          <w:kern w:val="0"/>
          <w:sz w:val="34"/>
          <w:szCs w:val="34"/>
          <w:highlight w:val="none"/>
          <w:lang w:val="en-US" w:eastAsia="zh-CN" w:bidi="ar-SA"/>
        </w:rPr>
        <w:t>多篇案例被市住建委、《城市导报》和东方网等权威媒体转载刊登，进一步加深公众对于违法建筑治理工作的理解和认同。</w:t>
      </w:r>
    </w:p>
    <w:p w14:paraId="61ADE723">
      <w:pPr>
        <w:pStyle w:val="2"/>
        <w:keepNext w:val="0"/>
        <w:keepLines w:val="0"/>
        <w:pageBreakBefore w:val="0"/>
        <w:kinsoku/>
        <w:wordWrap/>
        <w:overflowPunct/>
        <w:topLinePunct w:val="0"/>
        <w:autoSpaceDE/>
        <w:autoSpaceDN/>
        <w:bidi w:val="0"/>
        <w:adjustRightInd/>
        <w:spacing w:line="570" w:lineRule="exact"/>
        <w:textAlignment w:val="auto"/>
        <w:rPr>
          <w:rFonts w:hint="default" w:ascii="仿宋_GB2312" w:hAnsi="仿宋_GB2312" w:eastAsia="仿宋_GB2312" w:cs="仿宋_GB2312"/>
          <w:color w:val="auto"/>
          <w:spacing w:val="-8"/>
          <w:kern w:val="0"/>
          <w:sz w:val="34"/>
          <w:szCs w:val="34"/>
          <w:highlight w:val="none"/>
          <w:lang w:val="en-US" w:eastAsia="zh-CN" w:bidi="ar-SA"/>
        </w:rPr>
      </w:pPr>
      <w:r>
        <w:rPr>
          <w:rFonts w:hint="eastAsia" w:ascii="仿宋_GB2312" w:hAnsi="仿宋_GB2312" w:eastAsia="仿宋_GB2312" w:cs="仿宋_GB2312"/>
          <w:color w:val="auto"/>
          <w:spacing w:val="-8"/>
          <w:kern w:val="0"/>
          <w:sz w:val="34"/>
          <w:szCs w:val="34"/>
          <w:highlight w:val="none"/>
          <w:lang w:val="en-US" w:eastAsia="zh-CN" w:bidi="ar-SA"/>
        </w:rPr>
        <w:t>三是</w:t>
      </w:r>
      <w:r>
        <w:rPr>
          <w:rFonts w:hint="eastAsia" w:ascii="仿宋_GB2312" w:hAnsi="仿宋_GB2312" w:eastAsia="仿宋_GB2312" w:cs="仿宋_GB2312"/>
          <w:b w:val="0"/>
          <w:bCs w:val="0"/>
          <w:sz w:val="34"/>
          <w:szCs w:val="34"/>
          <w:lang w:val="en-US" w:eastAsia="zh-CN"/>
        </w:rPr>
        <w:t>聚焦全区低效用地和“两旧一村”等重点，加大“六必拆”重点违建点位整治，以“零容忍”态度坚决遏制新增违建，</w:t>
      </w:r>
      <w:r>
        <w:rPr>
          <w:rFonts w:hint="eastAsia" w:ascii="仿宋_GB2312" w:hAnsi="仿宋_GB2312" w:eastAsia="仿宋_GB2312" w:cs="仿宋_GB2312"/>
          <w:sz w:val="34"/>
          <w:szCs w:val="34"/>
          <w:lang w:val="en-US" w:eastAsia="zh-CN"/>
        </w:rPr>
        <w:t>对照全年市级任务指标，静安区销项完成率达102.12%。</w:t>
      </w:r>
    </w:p>
    <w:p w14:paraId="4BD49F4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jc w:val="both"/>
        <w:textAlignment w:val="auto"/>
        <w:rPr>
          <w:rFonts w:hint="eastAsia" w:ascii="仿宋_GB2312" w:hAnsi="仿宋_GB2312" w:eastAsia="仿宋_GB2312" w:cs="仿宋_GB2312"/>
          <w:b/>
          <w:bCs/>
          <w:color w:val="auto"/>
          <w:sz w:val="34"/>
          <w:szCs w:val="34"/>
          <w:lang w:val="en-US" w:eastAsia="zh-CN"/>
        </w:rPr>
      </w:pPr>
      <w:r>
        <w:rPr>
          <w:rFonts w:hint="eastAsia" w:ascii="楷体_GB2312" w:hAnsi="楷体_GB2312" w:eastAsia="楷体_GB2312" w:cs="楷体_GB2312"/>
          <w:b/>
          <w:bCs/>
          <w:color w:val="auto"/>
          <w:sz w:val="34"/>
          <w:szCs w:val="34"/>
          <w:lang w:val="en-US" w:eastAsia="zh-CN"/>
        </w:rPr>
        <w:t>（四）</w:t>
      </w:r>
      <w:r>
        <w:rPr>
          <w:rFonts w:hint="eastAsia" w:ascii="楷体_GB2312" w:hAnsi="楷体_GB2312" w:eastAsia="楷体_GB2312" w:cs="楷体_GB2312"/>
          <w:b/>
          <w:bCs/>
          <w:color w:val="auto"/>
          <w:sz w:val="34"/>
          <w:szCs w:val="34"/>
          <w:rtl w:val="0"/>
          <w:lang w:val="en-US" w:eastAsia="zh-CN"/>
        </w:rPr>
        <w:t>全面提升行政执法人员能力素质。</w:t>
      </w:r>
    </w:p>
    <w:p w14:paraId="5DB20A7B">
      <w:pPr>
        <w:keepNext w:val="0"/>
        <w:keepLines w:val="0"/>
        <w:pageBreakBefore w:val="0"/>
        <w:widowControl w:val="0"/>
        <w:kinsoku/>
        <w:wordWrap/>
        <w:overflowPunct/>
        <w:topLinePunct w:val="0"/>
        <w:autoSpaceDE/>
        <w:autoSpaceDN/>
        <w:bidi w:val="0"/>
        <w:adjustRightInd/>
        <w:snapToGrid w:val="0"/>
        <w:spacing w:line="570" w:lineRule="exact"/>
        <w:ind w:firstLine="680" w:firstLineChars="200"/>
        <w:jc w:val="left"/>
        <w:textAlignment w:val="auto"/>
        <w:rPr>
          <w:rFonts w:hint="eastAsia" w:ascii="仿宋_GB2312" w:hAnsi="仿宋_GB2312" w:eastAsia="仿宋_GB2312" w:cs="仿宋_GB2312"/>
          <w:color w:val="auto"/>
          <w:kern w:val="2"/>
          <w:sz w:val="34"/>
          <w:szCs w:val="34"/>
          <w:rtl w:val="0"/>
          <w:lang w:val="en-US" w:eastAsia="zh-CN" w:bidi="zh-CN"/>
        </w:rPr>
      </w:pPr>
      <w:r>
        <w:rPr>
          <w:rFonts w:hint="eastAsia" w:ascii="仿宋_GB2312" w:hAnsi="仿宋_GB2312" w:eastAsia="仿宋_GB2312" w:cs="仿宋_GB2312"/>
          <w:b w:val="0"/>
          <w:bCs w:val="0"/>
          <w:color w:val="auto"/>
          <w:kern w:val="2"/>
          <w:sz w:val="34"/>
          <w:szCs w:val="34"/>
          <w:rtl w:val="0"/>
          <w:lang w:val="en-US" w:eastAsia="zh-CN" w:bidi="zh-CN"/>
        </w:rPr>
        <w:t>一是建立专业人才库。</w:t>
      </w:r>
      <w:r>
        <w:rPr>
          <w:rFonts w:hint="eastAsia" w:ascii="仿宋_GB2312" w:hAnsi="仿宋_GB2312" w:eastAsia="仿宋_GB2312" w:cs="仿宋_GB2312"/>
          <w:color w:val="auto"/>
          <w:kern w:val="2"/>
          <w:sz w:val="34"/>
          <w:szCs w:val="34"/>
          <w:rtl w:val="0"/>
          <w:lang w:val="en-US" w:eastAsia="zh-CN" w:bidi="zh-CN"/>
        </w:rPr>
        <w:t>坚持党管干部，德才兼备、以德为先，注重实绩等原则，建立区城管执法系统党政管理(后备)人才库、专业领军(后备)人才库、青年人才库并进行动态更新。</w:t>
      </w:r>
    </w:p>
    <w:p w14:paraId="784FB902">
      <w:pPr>
        <w:keepNext w:val="0"/>
        <w:keepLines w:val="0"/>
        <w:pageBreakBefore w:val="0"/>
        <w:widowControl w:val="0"/>
        <w:kinsoku/>
        <w:wordWrap/>
        <w:overflowPunct/>
        <w:topLinePunct w:val="0"/>
        <w:autoSpaceDE/>
        <w:autoSpaceDN/>
        <w:bidi w:val="0"/>
        <w:adjustRightInd/>
        <w:snapToGrid w:val="0"/>
        <w:spacing w:line="570" w:lineRule="exact"/>
        <w:ind w:firstLine="680" w:firstLineChars="200"/>
        <w:jc w:val="left"/>
        <w:textAlignment w:val="auto"/>
        <w:rPr>
          <w:rFonts w:hint="eastAsia" w:ascii="仿宋_GB2312" w:hAnsi="仿宋_GB2312" w:eastAsia="仿宋_GB2312" w:cs="仿宋_GB2312"/>
          <w:color w:val="auto"/>
          <w:sz w:val="34"/>
          <w:szCs w:val="34"/>
          <w:highlight w:val="none"/>
          <w:lang w:val="en-US" w:eastAsia="zh-CN"/>
        </w:rPr>
      </w:pPr>
      <w:r>
        <w:rPr>
          <w:rFonts w:hint="eastAsia" w:ascii="仿宋_GB2312" w:hAnsi="仿宋_GB2312" w:eastAsia="仿宋_GB2312" w:cs="仿宋_GB2312"/>
          <w:b w:val="0"/>
          <w:bCs w:val="0"/>
          <w:color w:val="auto"/>
          <w:kern w:val="2"/>
          <w:sz w:val="34"/>
          <w:szCs w:val="34"/>
          <w:rtl w:val="0"/>
          <w:lang w:val="en-US" w:eastAsia="zh-CN" w:bidi="zh-CN"/>
        </w:rPr>
        <w:t>二是开展专业化、职业化培训。</w:t>
      </w:r>
      <w:r>
        <w:rPr>
          <w:rFonts w:hint="eastAsia" w:ascii="仿宋_GB2312" w:hAnsi="仿宋_GB2312" w:eastAsia="仿宋_GB2312" w:cs="仿宋_GB2312"/>
          <w:color w:val="auto"/>
          <w:kern w:val="2"/>
          <w:sz w:val="34"/>
          <w:szCs w:val="34"/>
          <w:rtl w:val="0"/>
          <w:lang w:val="en-US" w:eastAsia="zh-CN" w:bidi="zh-CN"/>
        </w:rPr>
        <w:t>确保行政执法人员每人每年接受不少于60学时的公共法律知识、业务知识和行政执法技能培训。</w:t>
      </w:r>
      <w:r>
        <w:rPr>
          <w:rFonts w:hint="eastAsia" w:ascii="仿宋_GB2312" w:hAnsi="仿宋_GB2312" w:eastAsia="仿宋_GB2312" w:cs="仿宋_GB2312"/>
          <w:color w:val="auto"/>
          <w:sz w:val="34"/>
          <w:szCs w:val="34"/>
          <w:highlight w:val="none"/>
        </w:rPr>
        <w:t>根据《上海市城管执法系统教育培训三年行动计划》</w:t>
      </w:r>
      <w:r>
        <w:rPr>
          <w:rFonts w:hint="eastAsia" w:ascii="仿宋_GB2312" w:hAnsi="仿宋_GB2312" w:eastAsia="仿宋_GB2312" w:cs="仿宋_GB2312"/>
          <w:color w:val="auto"/>
          <w:sz w:val="34"/>
          <w:szCs w:val="34"/>
          <w:highlight w:val="none"/>
          <w:lang w:eastAsia="zh-CN"/>
        </w:rPr>
        <w:t>及《静安区城管执法系统综合教育培训三年行动计划（2022-2024 年）》</w:t>
      </w:r>
      <w:r>
        <w:rPr>
          <w:rFonts w:hint="eastAsia" w:ascii="仿宋_GB2312" w:hAnsi="仿宋_GB2312" w:eastAsia="仿宋_GB2312" w:cs="仿宋_GB2312"/>
          <w:color w:val="auto"/>
          <w:sz w:val="34"/>
          <w:szCs w:val="34"/>
          <w:highlight w:val="none"/>
        </w:rPr>
        <w:t>，</w:t>
      </w:r>
      <w:r>
        <w:rPr>
          <w:rFonts w:hint="eastAsia" w:ascii="仿宋_GB2312" w:hAnsi="仿宋_GB2312" w:eastAsia="仿宋_GB2312" w:cs="仿宋_GB2312"/>
          <w:color w:val="auto"/>
          <w:sz w:val="34"/>
          <w:szCs w:val="34"/>
          <w:highlight w:val="none"/>
          <w:lang w:val="en-US" w:eastAsia="zh-CN"/>
        </w:rPr>
        <w:t>制定</w:t>
      </w:r>
      <w:r>
        <w:rPr>
          <w:rFonts w:hint="eastAsia" w:ascii="仿宋_GB2312" w:hAnsi="仿宋_GB2312" w:eastAsia="仿宋_GB2312" w:cs="仿宋_GB2312"/>
          <w:color w:val="auto"/>
          <w:sz w:val="34"/>
          <w:szCs w:val="34"/>
          <w:highlight w:val="none"/>
          <w:lang w:eastAsia="zh-CN"/>
        </w:rPr>
        <w:t>了</w:t>
      </w:r>
      <w:r>
        <w:rPr>
          <w:rFonts w:hint="eastAsia" w:ascii="仿宋_GB2312" w:hAnsi="仿宋_GB2312" w:eastAsia="仿宋_GB2312" w:cs="仿宋_GB2312"/>
          <w:color w:val="auto"/>
          <w:sz w:val="34"/>
          <w:szCs w:val="34"/>
          <w:highlight w:val="none"/>
          <w:lang w:val="en-US" w:eastAsia="zh-CN"/>
        </w:rPr>
        <w:t>今年的教培行动计划</w:t>
      </w:r>
      <w:r>
        <w:rPr>
          <w:rFonts w:hint="eastAsia" w:ascii="仿宋_GB2312" w:hAnsi="仿宋_GB2312" w:eastAsia="仿宋_GB2312" w:cs="仿宋_GB2312"/>
          <w:color w:val="auto"/>
          <w:sz w:val="34"/>
          <w:szCs w:val="34"/>
          <w:highlight w:val="none"/>
          <w:lang w:eastAsia="zh-CN"/>
        </w:rPr>
        <w:t>，</w:t>
      </w:r>
      <w:r>
        <w:rPr>
          <w:rFonts w:hint="eastAsia" w:ascii="仿宋_GB2312" w:hAnsi="仿宋_GB2312" w:eastAsia="仿宋_GB2312" w:cs="仿宋_GB2312"/>
          <w:color w:val="auto"/>
          <w:sz w:val="34"/>
          <w:szCs w:val="34"/>
          <w:highlight w:val="none"/>
          <w:lang w:val="en-US" w:eastAsia="zh-CN"/>
        </w:rPr>
        <w:t>结合各科室需求，完善</w:t>
      </w:r>
      <w:r>
        <w:rPr>
          <w:rFonts w:hint="eastAsia" w:ascii="仿宋_GB2312" w:hAnsi="仿宋_GB2312" w:eastAsia="仿宋_GB2312" w:cs="仿宋_GB2312"/>
          <w:color w:val="auto"/>
          <w:sz w:val="34"/>
          <w:szCs w:val="34"/>
          <w:highlight w:val="none"/>
        </w:rPr>
        <w:t>分</w:t>
      </w:r>
      <w:r>
        <w:rPr>
          <w:rFonts w:hint="eastAsia" w:ascii="仿宋_GB2312" w:hAnsi="仿宋_GB2312" w:eastAsia="仿宋_GB2312" w:cs="仿宋_GB2312"/>
          <w:color w:val="auto"/>
          <w:sz w:val="34"/>
          <w:szCs w:val="34"/>
          <w:highlight w:val="none"/>
          <w:lang w:val="en-US" w:eastAsia="zh-CN"/>
        </w:rPr>
        <w:t>类</w:t>
      </w:r>
      <w:r>
        <w:rPr>
          <w:rFonts w:hint="eastAsia" w:ascii="仿宋_GB2312" w:hAnsi="仿宋_GB2312" w:eastAsia="仿宋_GB2312" w:cs="仿宋_GB2312"/>
          <w:color w:val="auto"/>
          <w:sz w:val="34"/>
          <w:szCs w:val="34"/>
          <w:highlight w:val="none"/>
        </w:rPr>
        <w:t>分级</w:t>
      </w:r>
      <w:r>
        <w:rPr>
          <w:rFonts w:hint="eastAsia" w:ascii="仿宋_GB2312" w:hAnsi="仿宋_GB2312" w:eastAsia="仿宋_GB2312" w:cs="仿宋_GB2312"/>
          <w:color w:val="auto"/>
          <w:sz w:val="34"/>
          <w:szCs w:val="34"/>
          <w:highlight w:val="none"/>
          <w:lang w:val="en-US" w:eastAsia="zh-CN"/>
        </w:rPr>
        <w:t>教培计划，根据项目化要求有序推进开展</w:t>
      </w:r>
      <w:r>
        <w:rPr>
          <w:rFonts w:hint="eastAsia" w:ascii="仿宋_GB2312" w:hAnsi="仿宋_GB2312" w:eastAsia="仿宋_GB2312" w:cs="仿宋_GB2312"/>
          <w:color w:val="auto"/>
          <w:sz w:val="34"/>
          <w:szCs w:val="34"/>
          <w:highlight w:val="none"/>
        </w:rPr>
        <w:t>各类培训，实现</w:t>
      </w:r>
      <w:r>
        <w:rPr>
          <w:rFonts w:hint="eastAsia" w:ascii="仿宋_GB2312" w:hAnsi="仿宋_GB2312" w:eastAsia="仿宋_GB2312" w:cs="仿宋_GB2312"/>
          <w:color w:val="auto"/>
          <w:sz w:val="34"/>
          <w:szCs w:val="34"/>
          <w:highlight w:val="none"/>
          <w:lang w:val="en-US" w:eastAsia="zh-CN"/>
        </w:rPr>
        <w:t>培训范围</w:t>
      </w:r>
      <w:r>
        <w:rPr>
          <w:rFonts w:hint="eastAsia" w:ascii="仿宋_GB2312" w:hAnsi="仿宋_GB2312" w:eastAsia="仿宋_GB2312" w:cs="仿宋_GB2312"/>
          <w:color w:val="auto"/>
          <w:sz w:val="34"/>
          <w:szCs w:val="34"/>
          <w:highlight w:val="none"/>
        </w:rPr>
        <w:t>全覆盖</w:t>
      </w:r>
      <w:r>
        <w:rPr>
          <w:rFonts w:hint="eastAsia" w:ascii="仿宋_GB2312" w:hAnsi="仿宋_GB2312" w:eastAsia="仿宋_GB2312" w:cs="仿宋_GB2312"/>
          <w:color w:val="auto"/>
          <w:sz w:val="34"/>
          <w:szCs w:val="34"/>
          <w:highlight w:val="none"/>
          <w:lang w:eastAsia="zh-CN"/>
        </w:rPr>
        <w:t>。</w:t>
      </w:r>
      <w:r>
        <w:rPr>
          <w:rFonts w:hint="eastAsia" w:ascii="仿宋_GB2312" w:hAnsi="仿宋_GB2312" w:eastAsia="仿宋_GB2312" w:cs="仿宋_GB2312"/>
          <w:color w:val="auto"/>
          <w:sz w:val="34"/>
          <w:szCs w:val="34"/>
          <w:highlight w:val="none"/>
          <w:lang w:val="en-US" w:eastAsia="zh-CN"/>
        </w:rPr>
        <w:t>按照普训要求和分级分类模式，针对区局、街镇分管领导，中队班子，法制员、案审员、宣传员、督察员及全体一线队员等不同群体。</w:t>
      </w:r>
    </w:p>
    <w:p w14:paraId="4E7991B6">
      <w:pPr>
        <w:keepNext w:val="0"/>
        <w:keepLines w:val="0"/>
        <w:pageBreakBefore w:val="0"/>
        <w:widowControl w:val="0"/>
        <w:kinsoku/>
        <w:wordWrap/>
        <w:overflowPunct/>
        <w:topLinePunct w:val="0"/>
        <w:autoSpaceDE/>
        <w:autoSpaceDN/>
        <w:bidi w:val="0"/>
        <w:adjustRightInd/>
        <w:snapToGrid w:val="0"/>
        <w:spacing w:line="570" w:lineRule="exact"/>
        <w:ind w:firstLine="680" w:firstLineChars="200"/>
        <w:jc w:val="left"/>
        <w:textAlignment w:val="auto"/>
        <w:rPr>
          <w:rFonts w:hint="default"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highlight w:val="none"/>
          <w:lang w:val="en-US" w:eastAsia="zh-CN"/>
        </w:rPr>
        <w:t>三是</w:t>
      </w:r>
      <w:r>
        <w:rPr>
          <w:rFonts w:hint="eastAsia" w:ascii="仿宋_GB2312" w:hAnsi="仿宋_GB2312" w:eastAsia="仿宋_GB2312" w:cs="仿宋_GB2312"/>
          <w:color w:val="auto"/>
          <w:kern w:val="2"/>
          <w:sz w:val="34"/>
          <w:szCs w:val="34"/>
          <w:rtl w:val="0"/>
          <w:lang w:val="en-US" w:eastAsia="zh-CN" w:bidi="zh-CN"/>
        </w:rPr>
        <w:t>积极参加市局、区司法局组织的各类法律实务能力考试，完成全年市局组织的执法业务考试，组织参加法律知识竞赛活动。</w:t>
      </w:r>
    </w:p>
    <w:p w14:paraId="590E87A7">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firstLine="680" w:firstLineChars="200"/>
        <w:jc w:val="both"/>
        <w:textAlignment w:val="auto"/>
        <w:rPr>
          <w:rFonts w:hint="eastAsia" w:ascii="黑体" w:hAnsi="黑体" w:eastAsia="黑体" w:cs="黑体"/>
          <w:color w:val="auto"/>
          <w:sz w:val="34"/>
          <w:szCs w:val="34"/>
          <w:lang w:val="en-US" w:eastAsia="zh-CN"/>
        </w:rPr>
      </w:pPr>
      <w:r>
        <w:rPr>
          <w:rFonts w:hint="eastAsia" w:ascii="黑体" w:hAnsi="黑体" w:eastAsia="黑体" w:cs="黑体"/>
          <w:color w:val="auto"/>
          <w:sz w:val="34"/>
          <w:szCs w:val="34"/>
          <w:lang w:val="en-US" w:eastAsia="zh-CN"/>
        </w:rPr>
        <w:t>存在的不足和原因分析</w:t>
      </w:r>
    </w:p>
    <w:p w14:paraId="32A68AF9">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 xml:space="preserve">    一是数字化赋能有待加强。智慧城管应用场景还不够丰富，在数据支撑和智能化分析等方面还有发展空间。二是传统教培模式需改变。传统的教育培训已经不能满足城市管理发展过程中复杂的社情民意处理工作，需结合基层治理、社区共建进一步融合，更好的提升执法人员综合素质。</w:t>
      </w:r>
    </w:p>
    <w:p w14:paraId="70E6B598">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firstLine="680" w:firstLineChars="200"/>
        <w:jc w:val="both"/>
        <w:textAlignment w:val="auto"/>
        <w:rPr>
          <w:rFonts w:hint="eastAsia" w:ascii="黑体" w:hAnsi="黑体" w:eastAsia="黑体" w:cs="黑体"/>
          <w:color w:val="auto"/>
          <w:sz w:val="34"/>
          <w:szCs w:val="34"/>
          <w:lang w:val="en-US" w:eastAsia="zh-CN"/>
        </w:rPr>
      </w:pPr>
      <w:r>
        <w:rPr>
          <w:rFonts w:hint="eastAsia" w:ascii="黑体" w:hAnsi="黑体" w:eastAsia="黑体" w:cs="黑体"/>
          <w:color w:val="auto"/>
          <w:sz w:val="34"/>
          <w:szCs w:val="34"/>
          <w:lang w:val="en-US" w:eastAsia="zh-CN"/>
        </w:rPr>
        <w:t>本单位、本地区主要负责人履行推进法治政府建设第一责任人职责、加强法治政府建设的工作情况</w:t>
      </w:r>
    </w:p>
    <w:p w14:paraId="7E61E282">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 xml:space="preserve">    本单位主要负责人坚持以习近平法治思想为指引，运用法治思维和法治方式推动城管执法队伍专业化、职业化建设。一是深入推进依法行政。认真落实行政机关负责人出庭应诉制度，本年度区局共收到行政复议通知书1份，行政诉讼通知书3份，收到行政复议决定1份，行政诉讼裁定3份，无纠错和败诉情况发生。二是提升法治能力建设。带头学习宪法、民法典、行政处罚法和党内法规、执法业务等法律知识，深入研究市、区关于法治政府建设和深化综合行政执法体制改革的各类文件和具体工作要求。牵头制定年度教育培训计划，按照全员普训和分级分类要求，开展各类集中培训16批次，涵盖参训1276余人次。三是强化普法宣传实效。贯彻落实“八五普法”工作，牵头开展“3·5学雷锋”“民法典宣传月”“7·15城管公众开放日”“獬豸释案”等系列普法宣法活动，推动我局“法润静安”项目走深走实。</w:t>
      </w:r>
    </w:p>
    <w:p w14:paraId="3E1134D4">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firstLine="680" w:firstLineChars="200"/>
        <w:jc w:val="both"/>
        <w:textAlignment w:val="auto"/>
        <w:rPr>
          <w:rFonts w:hint="eastAsia" w:ascii="仿宋_GB2312" w:hAnsi="仿宋_GB2312" w:eastAsia="仿宋_GB2312" w:cs="仿宋_GB2312"/>
          <w:color w:val="auto"/>
          <w:sz w:val="34"/>
          <w:szCs w:val="34"/>
          <w:lang w:val="en-US" w:eastAsia="zh-CN"/>
        </w:rPr>
      </w:pPr>
      <w:r>
        <w:rPr>
          <w:rFonts w:hint="eastAsia" w:ascii="黑体" w:hAnsi="黑体" w:eastAsia="黑体" w:cs="黑体"/>
          <w:color w:val="auto"/>
          <w:sz w:val="34"/>
          <w:szCs w:val="34"/>
          <w:lang w:val="en-US" w:eastAsia="zh-CN"/>
        </w:rPr>
        <w:t>2025年推进法治政府建设主要安排</w:t>
      </w:r>
    </w:p>
    <w:p w14:paraId="71D8BFC8">
      <w:pPr>
        <w:keepNext w:val="0"/>
        <w:keepLines w:val="0"/>
        <w:pageBreakBefore w:val="0"/>
        <w:widowControl w:val="0"/>
        <w:kinsoku/>
        <w:wordWrap/>
        <w:overflowPunct/>
        <w:topLinePunct w:val="0"/>
        <w:autoSpaceDE/>
        <w:autoSpaceDN/>
        <w:bidi w:val="0"/>
        <w:adjustRightInd/>
        <w:spacing w:line="570" w:lineRule="exact"/>
        <w:ind w:firstLine="680" w:firstLineChars="200"/>
        <w:textAlignment w:val="auto"/>
        <w:rPr>
          <w:rFonts w:hint="eastAsia" w:ascii="仿宋_GB2312" w:hAnsi="仿宋_GB2312" w:eastAsia="仿宋_GB2312" w:cs="仿宋_GB2312"/>
          <w:color w:val="auto"/>
          <w:kern w:val="2"/>
          <w:sz w:val="34"/>
          <w:szCs w:val="34"/>
          <w:highlight w:val="none"/>
          <w:lang w:val="en-US" w:eastAsia="zh-CN" w:bidi="ar-SA"/>
        </w:rPr>
      </w:pPr>
      <w:r>
        <w:rPr>
          <w:rFonts w:hint="eastAsia" w:ascii="仿宋_GB2312" w:hAnsi="仿宋_GB2312" w:eastAsia="仿宋_GB2312" w:cs="仿宋_GB2312"/>
          <w:color w:val="auto"/>
          <w:kern w:val="2"/>
          <w:sz w:val="34"/>
          <w:szCs w:val="34"/>
          <w:highlight w:val="none"/>
          <w:lang w:val="en-US" w:eastAsia="zh-CN" w:bidi="ar-SA"/>
        </w:rPr>
        <w:t>一是打造教培新模式。充分利用区社会治理学院的设立以及辐射效应，做到融合教学，把日常教培工作和参与社会治理课程相融合。通过对内提升讲课水平，对外延伸至外区系统进行授课以及向社区、商铺、楼宇等影响较大的区域和领域去授课，来扩大城管法律知识普及率、违法行为知晓率、城管为民服务率。</w:t>
      </w:r>
    </w:p>
    <w:p w14:paraId="68110DF0">
      <w:pPr>
        <w:pStyle w:val="2"/>
        <w:keepNext w:val="0"/>
        <w:keepLines w:val="0"/>
        <w:pageBreakBefore w:val="0"/>
        <w:widowControl w:val="0"/>
        <w:kinsoku/>
        <w:wordWrap/>
        <w:overflowPunct/>
        <w:topLinePunct w:val="0"/>
        <w:autoSpaceDE/>
        <w:autoSpaceDN/>
        <w:bidi w:val="0"/>
        <w:adjustRightInd/>
        <w:spacing w:line="570" w:lineRule="exact"/>
        <w:textAlignment w:val="auto"/>
        <w:rPr>
          <w:rFonts w:hint="eastAsia" w:ascii="仿宋_GB2312" w:hAnsi="仿宋_GB2312" w:eastAsia="仿宋_GB2312" w:cs="仿宋_GB2312"/>
          <w:color w:val="auto"/>
          <w:kern w:val="2"/>
          <w:sz w:val="34"/>
          <w:szCs w:val="34"/>
          <w:highlight w:val="none"/>
          <w:lang w:val="en-US" w:eastAsia="zh-CN" w:bidi="ar-SA"/>
        </w:rPr>
      </w:pPr>
      <w:r>
        <w:rPr>
          <w:rFonts w:hint="eastAsia" w:ascii="仿宋_GB2312" w:hAnsi="仿宋_GB2312" w:eastAsia="仿宋_GB2312" w:cs="仿宋_GB2312"/>
          <w:color w:val="auto"/>
          <w:kern w:val="2"/>
          <w:sz w:val="34"/>
          <w:szCs w:val="34"/>
          <w:highlight w:val="none"/>
          <w:lang w:val="en-US" w:eastAsia="zh-CN" w:bidi="ar-SA"/>
        </w:rPr>
        <w:t>二是提升行政执法质量。以提升各街镇综合行政执法队案审人员的审案能力，提升对执法人员的规范能力，发挥区局多重服务功能，将案卷评查、每月讲法、案例评选等多形式融入，全面提升整个系统的执法办案水准。</w:t>
      </w:r>
    </w:p>
    <w:p w14:paraId="45E9E68B">
      <w:pPr>
        <w:keepNext w:val="0"/>
        <w:keepLines w:val="0"/>
        <w:pageBreakBefore w:val="0"/>
        <w:kinsoku/>
        <w:wordWrap/>
        <w:overflowPunct/>
        <w:topLinePunct w:val="0"/>
        <w:autoSpaceDE/>
        <w:autoSpaceDN/>
        <w:bidi w:val="0"/>
        <w:adjustRightInd/>
        <w:spacing w:line="570" w:lineRule="exact"/>
        <w:ind w:firstLine="680" w:firstLineChars="200"/>
        <w:textAlignment w:val="auto"/>
        <w:rPr>
          <w:rFonts w:hint="eastAsia"/>
          <w:lang w:val="en-US" w:eastAsia="zh-CN"/>
        </w:rPr>
      </w:pPr>
      <w:r>
        <w:rPr>
          <w:rFonts w:hint="eastAsia" w:ascii="仿宋_GB2312" w:hAnsi="仿宋_GB2312" w:eastAsia="仿宋_GB2312" w:cs="仿宋_GB2312"/>
          <w:color w:val="auto"/>
          <w:kern w:val="2"/>
          <w:sz w:val="34"/>
          <w:szCs w:val="34"/>
          <w:highlight w:val="none"/>
          <w:lang w:val="en-US" w:eastAsia="zh-CN" w:bidi="ar-SA"/>
        </w:rPr>
        <w:t>三是服务保障新业态。实施疏堵结和宽严相济的策略，与相关部门合作，根据地方特色合理规划新业态经营点，推动特色集市、疏导点和管控点的规范化。开展分级分类的执法检查，加强对管理主体的督促、指导和服务，联合多部门采取措施进行联合执法，持续改善街面和营商环境。</w:t>
      </w:r>
    </w:p>
    <w:p w14:paraId="4340EEE4">
      <w:pPr>
        <w:keepNext w:val="0"/>
        <w:keepLines w:val="0"/>
        <w:pageBreakBefore w:val="0"/>
        <w:kinsoku/>
        <w:wordWrap/>
        <w:overflowPunct/>
        <w:topLinePunct w:val="0"/>
        <w:autoSpaceDE/>
        <w:autoSpaceDN/>
        <w:bidi w:val="0"/>
        <w:adjustRightInd/>
        <w:spacing w:line="570" w:lineRule="exact"/>
        <w:textAlignment w:val="auto"/>
      </w:pPr>
    </w:p>
    <w:p w14:paraId="06A71DC2">
      <w:pPr>
        <w:pStyle w:val="4"/>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4"/>
          <w:szCs w:val="34"/>
          <w:rtl w:val="0"/>
          <w:lang w:val="en-US" w:eastAsia="zh-CN"/>
        </w:rPr>
      </w:pPr>
    </w:p>
    <w:p w14:paraId="7D55B45F">
      <w:pPr>
        <w:pStyle w:val="4"/>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cs="仿宋_GB2312"/>
          <w:sz w:val="34"/>
          <w:szCs w:val="34"/>
          <w:rtl w:val="0"/>
          <w:lang w:val="en-US" w:eastAsia="zh-CN"/>
        </w:rPr>
      </w:pPr>
    </w:p>
    <w:p w14:paraId="02169432">
      <w:pPr>
        <w:pStyle w:val="4"/>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cs="仿宋_GB2312"/>
          <w:sz w:val="34"/>
          <w:szCs w:val="34"/>
          <w:rtl w:val="0"/>
          <w:lang w:val="en-US" w:eastAsia="zh-CN"/>
        </w:rPr>
      </w:pPr>
      <w:r>
        <w:rPr>
          <w:rFonts w:hint="eastAsia" w:cs="仿宋_GB2312"/>
          <w:sz w:val="34"/>
          <w:szCs w:val="34"/>
          <w:rtl w:val="0"/>
          <w:lang w:val="en-US" w:eastAsia="zh-CN"/>
        </w:rPr>
        <w:t>（此页无正文）</w:t>
      </w:r>
    </w:p>
    <w:p w14:paraId="72285483">
      <w:pPr>
        <w:pStyle w:val="4"/>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cs="仿宋_GB2312"/>
          <w:sz w:val="34"/>
          <w:szCs w:val="34"/>
          <w:rtl w:val="0"/>
          <w:lang w:val="en-US" w:eastAsia="zh-CN"/>
        </w:rPr>
      </w:pPr>
    </w:p>
    <w:p w14:paraId="2F5AA103">
      <w:pPr>
        <w:pStyle w:val="4"/>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cs="仿宋_GB2312"/>
          <w:sz w:val="34"/>
          <w:szCs w:val="34"/>
          <w:rtl w:val="0"/>
          <w:lang w:val="en-US" w:eastAsia="zh-CN"/>
        </w:rPr>
      </w:pPr>
    </w:p>
    <w:p w14:paraId="6D4CA30A">
      <w:pPr>
        <w:pStyle w:val="4"/>
        <w:keepNext w:val="0"/>
        <w:keepLines w:val="0"/>
        <w:pageBreakBefore w:val="0"/>
        <w:widowControl w:val="0"/>
        <w:kinsoku/>
        <w:wordWrap/>
        <w:overflowPunct/>
        <w:topLinePunct w:val="0"/>
        <w:autoSpaceDE/>
        <w:autoSpaceDN/>
        <w:bidi w:val="0"/>
        <w:adjustRightInd/>
        <w:snapToGrid/>
        <w:spacing w:line="570" w:lineRule="exact"/>
        <w:ind w:firstLine="3400" w:firstLineChars="1000"/>
        <w:jc w:val="both"/>
        <w:textAlignment w:val="auto"/>
        <w:rPr>
          <w:rFonts w:hint="eastAsia" w:ascii="仿宋_GB2312" w:hAnsi="仿宋_GB2312" w:eastAsia="仿宋_GB2312" w:cs="仿宋_GB2312"/>
          <w:sz w:val="34"/>
          <w:szCs w:val="34"/>
          <w:rtl w:val="0"/>
          <w:lang w:val="en-US" w:eastAsia="zh-CN"/>
        </w:rPr>
      </w:pPr>
      <w:r>
        <w:rPr>
          <w:rFonts w:hint="eastAsia" w:cs="仿宋_GB2312"/>
          <w:sz w:val="34"/>
          <w:szCs w:val="34"/>
          <w:rtl w:val="0"/>
          <w:lang w:val="en-US" w:eastAsia="zh-CN"/>
        </w:rPr>
        <w:t>上海市</w:t>
      </w:r>
      <w:r>
        <w:rPr>
          <w:rFonts w:hint="eastAsia" w:ascii="仿宋_GB2312" w:hAnsi="仿宋_GB2312" w:eastAsia="仿宋_GB2312" w:cs="仿宋_GB2312"/>
          <w:sz w:val="34"/>
          <w:szCs w:val="34"/>
          <w:rtl w:val="0"/>
          <w:lang w:val="en-US" w:eastAsia="zh-CN"/>
        </w:rPr>
        <w:t>静安区城市管理行政执法局</w:t>
      </w:r>
    </w:p>
    <w:p w14:paraId="6C2CD700">
      <w:pPr>
        <w:pStyle w:val="4"/>
        <w:keepNext w:val="0"/>
        <w:keepLines w:val="0"/>
        <w:pageBreakBefore w:val="0"/>
        <w:widowControl w:val="0"/>
        <w:kinsoku/>
        <w:wordWrap/>
        <w:overflowPunct/>
        <w:topLinePunct w:val="0"/>
        <w:autoSpaceDE/>
        <w:autoSpaceDN/>
        <w:bidi w:val="0"/>
        <w:adjustRightInd/>
        <w:snapToGrid/>
        <w:spacing w:line="570" w:lineRule="exact"/>
        <w:ind w:firstLine="4420" w:firstLineChars="1300"/>
        <w:jc w:val="center"/>
        <w:textAlignment w:val="auto"/>
        <w:rPr>
          <w:rFonts w:hint="eastAsia" w:ascii="仿宋_GB2312" w:hAnsi="仿宋_GB2312" w:eastAsia="仿宋_GB2312" w:cs="仿宋_GB2312"/>
          <w:sz w:val="34"/>
          <w:szCs w:val="34"/>
          <w:rtl w:val="0"/>
          <w:lang w:val="en-US" w:eastAsia="zh-CN"/>
        </w:rPr>
      </w:pPr>
      <w:r>
        <w:rPr>
          <w:rFonts w:hint="eastAsia" w:ascii="仿宋_GB2312" w:hAnsi="仿宋_GB2312" w:eastAsia="仿宋_GB2312" w:cs="仿宋_GB2312"/>
          <w:sz w:val="34"/>
          <w:szCs w:val="34"/>
          <w:rtl w:val="0"/>
          <w:lang w:val="en-US" w:eastAsia="zh-CN"/>
        </w:rPr>
        <w:t>202</w:t>
      </w:r>
      <w:r>
        <w:rPr>
          <w:rFonts w:hint="eastAsia" w:cs="仿宋_GB2312"/>
          <w:sz w:val="34"/>
          <w:szCs w:val="34"/>
          <w:rtl w:val="0"/>
          <w:lang w:val="en-US" w:eastAsia="zh-CN"/>
        </w:rPr>
        <w:t>4</w:t>
      </w:r>
      <w:r>
        <w:rPr>
          <w:rFonts w:hint="eastAsia" w:ascii="仿宋_GB2312" w:hAnsi="仿宋_GB2312" w:eastAsia="仿宋_GB2312" w:cs="仿宋_GB2312"/>
          <w:sz w:val="34"/>
          <w:szCs w:val="34"/>
          <w:rtl w:val="0"/>
          <w:lang w:val="en-US" w:eastAsia="zh-CN"/>
        </w:rPr>
        <w:t>年1</w:t>
      </w:r>
      <w:r>
        <w:rPr>
          <w:rFonts w:hint="eastAsia" w:cs="仿宋_GB2312"/>
          <w:sz w:val="34"/>
          <w:szCs w:val="34"/>
          <w:rtl w:val="0"/>
          <w:lang w:val="en-US" w:eastAsia="zh-CN"/>
        </w:rPr>
        <w:t>2</w:t>
      </w:r>
      <w:r>
        <w:rPr>
          <w:rFonts w:hint="eastAsia" w:ascii="仿宋_GB2312" w:hAnsi="仿宋_GB2312" w:eastAsia="仿宋_GB2312" w:cs="仿宋_GB2312"/>
          <w:sz w:val="34"/>
          <w:szCs w:val="34"/>
          <w:rtl w:val="0"/>
          <w:lang w:val="en-US" w:eastAsia="zh-CN"/>
        </w:rPr>
        <w:t>月</w:t>
      </w:r>
      <w:r>
        <w:rPr>
          <w:rFonts w:hint="eastAsia" w:cs="仿宋_GB2312"/>
          <w:sz w:val="34"/>
          <w:szCs w:val="34"/>
          <w:rtl w:val="0"/>
          <w:lang w:val="en-US" w:eastAsia="zh-CN"/>
        </w:rPr>
        <w:t>3</w:t>
      </w:r>
      <w:r>
        <w:rPr>
          <w:rFonts w:hint="eastAsia" w:ascii="仿宋_GB2312" w:hAnsi="仿宋_GB2312" w:eastAsia="仿宋_GB2312" w:cs="仿宋_GB2312"/>
          <w:sz w:val="34"/>
          <w:szCs w:val="34"/>
          <w:rtl w:val="0"/>
          <w:lang w:val="en-US" w:eastAsia="zh-CN"/>
        </w:rPr>
        <w:t>日</w:t>
      </w:r>
    </w:p>
    <w:p w14:paraId="2AC9D203">
      <w:pPr>
        <w:pStyle w:val="4"/>
        <w:keepNext w:val="0"/>
        <w:keepLines w:val="0"/>
        <w:pageBreakBefore w:val="0"/>
        <w:widowControl w:val="0"/>
        <w:kinsoku/>
        <w:wordWrap/>
        <w:overflowPunct/>
        <w:topLinePunct w:val="0"/>
        <w:autoSpaceDE/>
        <w:autoSpaceDN/>
        <w:bidi w:val="0"/>
        <w:adjustRightInd/>
        <w:snapToGrid/>
        <w:spacing w:before="1405" w:beforeLines="450"/>
        <w:jc w:val="both"/>
        <w:textAlignment w:val="auto"/>
        <w:rPr>
          <w:rFonts w:hint="eastAsia" w:ascii="仿宋_GB2312" w:hAnsi="仿宋_GB2312" w:eastAsia="仿宋_GB2312" w:cs="仿宋_GB2312"/>
          <w:sz w:val="34"/>
          <w:szCs w:val="34"/>
          <w:lang w:val="en-US" w:eastAsia="zh-CN"/>
        </w:rPr>
      </w:pPr>
    </w:p>
    <w:p w14:paraId="7A4DDA83">
      <w:pPr>
        <w:pStyle w:val="4"/>
        <w:keepNext w:val="0"/>
        <w:keepLines w:val="0"/>
        <w:pageBreakBefore w:val="0"/>
        <w:widowControl w:val="0"/>
        <w:kinsoku/>
        <w:wordWrap/>
        <w:overflowPunct/>
        <w:topLinePunct w:val="0"/>
        <w:autoSpaceDE/>
        <w:autoSpaceDN/>
        <w:bidi w:val="0"/>
        <w:adjustRightInd/>
        <w:snapToGrid/>
        <w:spacing w:before="1405" w:beforeLines="450"/>
        <w:jc w:val="both"/>
        <w:textAlignment w:val="auto"/>
        <w:rPr>
          <w:rFonts w:hint="eastAsia" w:ascii="仿宋_GB2312" w:hAnsi="仿宋_GB2312" w:eastAsia="仿宋_GB2312" w:cs="仿宋_GB2312"/>
          <w:sz w:val="34"/>
          <w:szCs w:val="34"/>
          <w:lang w:val="en-US" w:eastAsia="zh-CN"/>
        </w:rPr>
      </w:pPr>
    </w:p>
    <w:p w14:paraId="08AC5D4C">
      <w:pPr>
        <w:pStyle w:val="4"/>
        <w:keepNext w:val="0"/>
        <w:keepLines w:val="0"/>
        <w:pageBreakBefore w:val="0"/>
        <w:widowControl w:val="0"/>
        <w:kinsoku/>
        <w:wordWrap/>
        <w:overflowPunct/>
        <w:topLinePunct w:val="0"/>
        <w:autoSpaceDE/>
        <w:autoSpaceDN/>
        <w:bidi w:val="0"/>
        <w:adjustRightInd/>
        <w:snapToGrid/>
        <w:spacing w:before="1405" w:beforeLines="450"/>
        <w:jc w:val="both"/>
        <w:textAlignment w:val="auto"/>
        <w:rPr>
          <w:rFonts w:hint="eastAsia" w:ascii="仿宋_GB2312" w:hAnsi="仿宋_GB2312" w:eastAsia="仿宋_GB2312" w:cs="仿宋_GB2312"/>
          <w:sz w:val="34"/>
          <w:szCs w:val="34"/>
          <w:lang w:val="en-US" w:eastAsia="zh-CN"/>
        </w:rPr>
      </w:pPr>
    </w:p>
    <w:p w14:paraId="19135C4C">
      <w:pPr>
        <w:pStyle w:val="4"/>
        <w:keepNext w:val="0"/>
        <w:keepLines w:val="0"/>
        <w:pageBreakBefore w:val="0"/>
        <w:widowControl w:val="0"/>
        <w:kinsoku/>
        <w:wordWrap/>
        <w:overflowPunct/>
        <w:topLinePunct w:val="0"/>
        <w:autoSpaceDE/>
        <w:autoSpaceDN/>
        <w:bidi w:val="0"/>
        <w:adjustRightInd/>
        <w:snapToGrid/>
        <w:spacing w:before="2965" w:beforeLines="950"/>
        <w:jc w:val="both"/>
        <w:textAlignment w:val="auto"/>
        <w:rPr>
          <w:rFonts w:hint="eastAsia" w:ascii="仿宋_GB2312" w:hAnsi="仿宋_GB2312" w:eastAsia="仿宋_GB2312" w:cs="仿宋_GB2312"/>
          <w:sz w:val="34"/>
          <w:szCs w:val="34"/>
          <w:lang w:val="en-US" w:eastAsia="zh-CN"/>
        </w:rPr>
      </w:pPr>
    </w:p>
    <w:p w14:paraId="72289239">
      <w:pPr>
        <w:keepNext w:val="0"/>
        <w:keepLines w:val="0"/>
        <w:pageBreakBefore w:val="0"/>
        <w:widowControl/>
        <w:pBdr>
          <w:top w:val="single" w:color="auto" w:sz="4" w:space="1"/>
          <w:bottom w:val="single" w:color="auto" w:sz="4" w:space="1"/>
        </w:pBdr>
        <w:kinsoku/>
        <w:wordWrap/>
        <w:overflowPunct/>
        <w:topLinePunct w:val="0"/>
        <w:autoSpaceDE/>
        <w:autoSpaceDN/>
        <w:bidi w:val="0"/>
        <w:adjustRightInd/>
        <w:snapToGrid/>
        <w:spacing w:line="570" w:lineRule="exact"/>
        <w:ind w:right="0" w:firstLine="154" w:firstLineChars="50"/>
        <w:textAlignment w:val="auto"/>
        <w:rPr>
          <w:rFonts w:hint="default"/>
          <w:sz w:val="33"/>
          <w:szCs w:val="33"/>
          <w:lang w:val="en-US" w:eastAsia="zh-CN"/>
        </w:rPr>
        <w:sectPr>
          <w:footerReference r:id="rId3" w:type="default"/>
          <w:pgSz w:w="11906" w:h="16838"/>
          <w:pgMar w:top="1440" w:right="1701" w:bottom="1440" w:left="1701" w:header="851" w:footer="992" w:gutter="0"/>
          <w:pgNumType w:fmt="numberInDash"/>
          <w:cols w:space="720" w:num="1"/>
          <w:docGrid w:type="lines" w:linePitch="312" w:charSpace="0"/>
        </w:sectPr>
      </w:pPr>
      <w:r>
        <w:rPr>
          <w:rFonts w:hint="eastAsia" w:ascii="仿宋_GB2312" w:hAnsi="Calibri" w:eastAsia="仿宋_GB2312" w:cs="Times New Roman"/>
          <w:spacing w:val="-11"/>
          <w:sz w:val="33"/>
          <w:szCs w:val="33"/>
        </w:rPr>
        <w:t>上海市静安区城市管理行政执法局</w:t>
      </w:r>
      <w:r>
        <w:rPr>
          <w:rFonts w:hint="eastAsia" w:ascii="仿宋_GB2312" w:hAnsi="Calibri" w:eastAsia="仿宋_GB2312" w:cs="Times New Roman"/>
          <w:spacing w:val="-11"/>
          <w:sz w:val="33"/>
          <w:szCs w:val="33"/>
          <w:lang w:val="en-US" w:eastAsia="zh-CN"/>
        </w:rPr>
        <w:t xml:space="preserve">  </w:t>
      </w:r>
      <w:r>
        <w:rPr>
          <w:rFonts w:hint="eastAsia" w:ascii="仿宋_GB2312" w:eastAsia="仿宋_GB2312" w:cs="Times New Roman"/>
          <w:spacing w:val="-11"/>
          <w:sz w:val="33"/>
          <w:szCs w:val="33"/>
          <w:lang w:val="en-US" w:eastAsia="zh-CN"/>
        </w:rPr>
        <w:t xml:space="preserve">   </w:t>
      </w:r>
      <w:r>
        <w:rPr>
          <w:rFonts w:hint="eastAsia" w:ascii="仿宋_GB2312" w:hAnsi="Calibri" w:eastAsia="仿宋_GB2312" w:cs="Times New Roman"/>
          <w:spacing w:val="-11"/>
          <w:sz w:val="33"/>
          <w:szCs w:val="33"/>
        </w:rPr>
        <w:t>202</w:t>
      </w:r>
      <w:r>
        <w:rPr>
          <w:rFonts w:hint="eastAsia" w:ascii="仿宋_GB2312" w:eastAsia="仿宋_GB2312" w:cs="Times New Roman"/>
          <w:spacing w:val="-11"/>
          <w:sz w:val="33"/>
          <w:szCs w:val="33"/>
          <w:lang w:val="en-US" w:eastAsia="zh-CN"/>
        </w:rPr>
        <w:t>4</w:t>
      </w:r>
      <w:r>
        <w:rPr>
          <w:rFonts w:hint="eastAsia" w:ascii="仿宋_GB2312" w:hAnsi="Calibri" w:eastAsia="仿宋_GB2312" w:cs="Times New Roman"/>
          <w:spacing w:val="-11"/>
          <w:sz w:val="33"/>
          <w:szCs w:val="33"/>
        </w:rPr>
        <w:t>年</w:t>
      </w:r>
      <w:r>
        <w:rPr>
          <w:rFonts w:hint="eastAsia" w:ascii="仿宋_GB2312" w:eastAsia="仿宋_GB2312" w:cs="Times New Roman"/>
          <w:spacing w:val="-11"/>
          <w:sz w:val="33"/>
          <w:szCs w:val="33"/>
          <w:lang w:val="en-US" w:eastAsia="zh-CN"/>
        </w:rPr>
        <w:t>12</w:t>
      </w:r>
      <w:r>
        <w:rPr>
          <w:rFonts w:hint="eastAsia" w:ascii="仿宋_GB2312" w:hAnsi="Calibri" w:eastAsia="仿宋_GB2312" w:cs="Times New Roman"/>
          <w:spacing w:val="-11"/>
          <w:sz w:val="33"/>
          <w:szCs w:val="33"/>
        </w:rPr>
        <w:t>月</w:t>
      </w:r>
      <w:r>
        <w:rPr>
          <w:rFonts w:hint="eastAsia" w:ascii="仿宋_GB2312" w:eastAsia="仿宋_GB2312" w:cs="Times New Roman"/>
          <w:spacing w:val="-11"/>
          <w:sz w:val="33"/>
          <w:szCs w:val="33"/>
          <w:lang w:val="en-US" w:eastAsia="zh-CN"/>
        </w:rPr>
        <w:t>3</w:t>
      </w:r>
      <w:r>
        <w:rPr>
          <w:rFonts w:hint="eastAsia" w:ascii="仿宋_GB2312" w:hAnsi="Calibri" w:eastAsia="仿宋_GB2312" w:cs="Times New Roman"/>
          <w:spacing w:val="-11"/>
          <w:sz w:val="33"/>
          <w:szCs w:val="33"/>
          <w:lang w:val="en-US" w:eastAsia="zh-CN"/>
        </w:rPr>
        <w:t>日印</w:t>
      </w:r>
      <w:r>
        <w:rPr>
          <w:rFonts w:hint="eastAsia" w:ascii="仿宋_GB2312" w:eastAsia="仿宋_GB2312" w:cs="Times New Roman"/>
          <w:spacing w:val="-11"/>
          <w:sz w:val="33"/>
          <w:szCs w:val="33"/>
          <w:lang w:val="en-US" w:eastAsia="zh-CN"/>
        </w:rPr>
        <w:t>发</w:t>
      </w:r>
    </w:p>
    <w:p w14:paraId="6EBDF6BC">
      <w:pPr>
        <w:pStyle w:val="4"/>
        <w:keepNext w:val="0"/>
        <w:keepLines w:val="0"/>
        <w:pageBreakBefore w:val="0"/>
        <w:kinsoku/>
        <w:wordWrap/>
        <w:overflowPunct/>
        <w:topLinePunct w:val="0"/>
        <w:bidi w:val="0"/>
        <w:adjustRightInd/>
        <w:snapToGrid/>
        <w:spacing w:line="570" w:lineRule="exact"/>
        <w:ind w:left="0" w:leftChars="0" w:right="0" w:firstLine="0" w:firstLineChars="0"/>
        <w:textAlignment w:val="auto"/>
        <w:rPr>
          <w:rFonts w:hint="default"/>
          <w:color w:val="auto"/>
          <w:lang w:val="en-US" w:eastAsia="zh-CN"/>
        </w:rPr>
      </w:pP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6BBF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7364F7">
                          <w:pPr>
                            <w:pStyle w:val="5"/>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- 1 -</w:t>
                          </w:r>
                          <w:r>
                            <w:rPr>
                              <w:rFonts w:hint="eastAsia" w:ascii="宋体" w:hAnsi="宋体" w:eastAsia="宋体" w:cs="宋体"/>
                              <w:sz w:val="28"/>
                              <w:szCs w:val="4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47364F7">
                    <w:pPr>
                      <w:pStyle w:val="5"/>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- 1 -</w:t>
                    </w:r>
                    <w:r>
                      <w:rPr>
                        <w:rFonts w:hint="eastAsia" w:ascii="宋体" w:hAnsi="宋体" w:eastAsia="宋体" w:cs="宋体"/>
                        <w:sz w:val="28"/>
                        <w:szCs w:val="4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F3E2D">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FFF2CB">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FFF2CB">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3C8205"/>
    <w:multiLevelType w:val="singleLevel"/>
    <w:tmpl w:val="893C8205"/>
    <w:lvl w:ilvl="0" w:tentative="0">
      <w:start w:val="2"/>
      <w:numFmt w:val="chineseCounting"/>
      <w:suff w:val="nothing"/>
      <w:lvlText w:val="（%1）"/>
      <w:lvlJc w:val="left"/>
      <w:rPr>
        <w:rFonts w:hint="eastAsia" w:ascii="楷体_GB2312" w:hAnsi="楷体_GB2312" w:eastAsia="楷体_GB2312" w:cs="楷体_GB2312"/>
        <w:b/>
        <w:bCs/>
        <w:sz w:val="34"/>
        <w:szCs w:val="34"/>
      </w:rPr>
    </w:lvl>
  </w:abstractNum>
  <w:abstractNum w:abstractNumId="1">
    <w:nsid w:val="98CE9F4F"/>
    <w:multiLevelType w:val="singleLevel"/>
    <w:tmpl w:val="98CE9F4F"/>
    <w:lvl w:ilvl="0" w:tentative="0">
      <w:start w:val="2"/>
      <w:numFmt w:val="chineseCounting"/>
      <w:suff w:val="nothing"/>
      <w:lvlText w:val="%1、"/>
      <w:lvlJc w:val="left"/>
      <w:rPr>
        <w:rFonts w:hint="eastAsia" w:ascii="黑体" w:hAnsi="黑体" w:eastAsia="黑体" w:cs="黑体"/>
      </w:rPr>
    </w:lvl>
  </w:abstractNum>
  <w:abstractNum w:abstractNumId="2">
    <w:nsid w:val="BAB9E37C"/>
    <w:multiLevelType w:val="singleLevel"/>
    <w:tmpl w:val="BAB9E37C"/>
    <w:lvl w:ilvl="0" w:tentative="0">
      <w:start w:val="2"/>
      <w:numFmt w:val="decimal"/>
      <w:suff w:val="nothing"/>
      <w:lvlText w:val="（%1）"/>
      <w:lvlJc w:val="left"/>
    </w:lvl>
  </w:abstractNum>
  <w:abstractNum w:abstractNumId="3">
    <w:nsid w:val="CB07E796"/>
    <w:multiLevelType w:val="singleLevel"/>
    <w:tmpl w:val="CB07E796"/>
    <w:lvl w:ilvl="0" w:tentative="0">
      <w:start w:val="1"/>
      <w:numFmt w:val="chineseCounting"/>
      <w:suff w:val="nothing"/>
      <w:lvlText w:val="（%1）"/>
      <w:lvlJc w:val="left"/>
      <w:rPr>
        <w:rFonts w:hint="eastAsia" w:ascii="楷体_GB2312" w:hAnsi="楷体_GB2312" w:eastAsia="楷体_GB2312" w:cs="楷体_GB2312"/>
        <w:b/>
        <w:bCs/>
        <w:sz w:val="34"/>
        <w:szCs w:val="34"/>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2NDY5ZGMyNzkwYjY0MzMxMzk4OWI3MzI5NDc1MTcifQ=="/>
  </w:docVars>
  <w:rsids>
    <w:rsidRoot w:val="64F51287"/>
    <w:rsid w:val="006E6810"/>
    <w:rsid w:val="0136732D"/>
    <w:rsid w:val="018D0F17"/>
    <w:rsid w:val="038C12F2"/>
    <w:rsid w:val="03F637F9"/>
    <w:rsid w:val="04BA58CA"/>
    <w:rsid w:val="06471DEA"/>
    <w:rsid w:val="0AB731E2"/>
    <w:rsid w:val="0AE0655C"/>
    <w:rsid w:val="0EE1708F"/>
    <w:rsid w:val="0F436286"/>
    <w:rsid w:val="11C0759A"/>
    <w:rsid w:val="11F614EC"/>
    <w:rsid w:val="1337209B"/>
    <w:rsid w:val="13FC42EC"/>
    <w:rsid w:val="15B402A0"/>
    <w:rsid w:val="15C06F29"/>
    <w:rsid w:val="15F63889"/>
    <w:rsid w:val="19624DCB"/>
    <w:rsid w:val="1C3D380E"/>
    <w:rsid w:val="1D0873AB"/>
    <w:rsid w:val="1E5C4CC3"/>
    <w:rsid w:val="1E6D6892"/>
    <w:rsid w:val="209F7728"/>
    <w:rsid w:val="216056ED"/>
    <w:rsid w:val="218644BB"/>
    <w:rsid w:val="219A3836"/>
    <w:rsid w:val="222A65E3"/>
    <w:rsid w:val="24294678"/>
    <w:rsid w:val="256B319A"/>
    <w:rsid w:val="259977A4"/>
    <w:rsid w:val="27492A9F"/>
    <w:rsid w:val="27B82F2F"/>
    <w:rsid w:val="286171BF"/>
    <w:rsid w:val="2893029D"/>
    <w:rsid w:val="289945D7"/>
    <w:rsid w:val="2B0F281A"/>
    <w:rsid w:val="2BB83445"/>
    <w:rsid w:val="2D790F5A"/>
    <w:rsid w:val="2D7E652C"/>
    <w:rsid w:val="2DB66CAA"/>
    <w:rsid w:val="2DC41843"/>
    <w:rsid w:val="2E274B36"/>
    <w:rsid w:val="2F0E4FE6"/>
    <w:rsid w:val="300F497A"/>
    <w:rsid w:val="312F5DB4"/>
    <w:rsid w:val="31AB35A0"/>
    <w:rsid w:val="329110B5"/>
    <w:rsid w:val="33EA5B17"/>
    <w:rsid w:val="3490277D"/>
    <w:rsid w:val="35F97DC4"/>
    <w:rsid w:val="367E2255"/>
    <w:rsid w:val="36BA7F3A"/>
    <w:rsid w:val="37015F36"/>
    <w:rsid w:val="37AC319E"/>
    <w:rsid w:val="391863A9"/>
    <w:rsid w:val="39535FC7"/>
    <w:rsid w:val="39720087"/>
    <w:rsid w:val="3C027045"/>
    <w:rsid w:val="3C831601"/>
    <w:rsid w:val="3D1724B9"/>
    <w:rsid w:val="3DCB1A9F"/>
    <w:rsid w:val="414A0622"/>
    <w:rsid w:val="417E736A"/>
    <w:rsid w:val="44E346A3"/>
    <w:rsid w:val="451C5E07"/>
    <w:rsid w:val="46220A4F"/>
    <w:rsid w:val="483D1893"/>
    <w:rsid w:val="485458B8"/>
    <w:rsid w:val="48AD4B97"/>
    <w:rsid w:val="498A7544"/>
    <w:rsid w:val="49B41BD4"/>
    <w:rsid w:val="49E04914"/>
    <w:rsid w:val="4A253068"/>
    <w:rsid w:val="4EA16178"/>
    <w:rsid w:val="4EA32C03"/>
    <w:rsid w:val="4FDD43E5"/>
    <w:rsid w:val="4FE14B21"/>
    <w:rsid w:val="503A4FF2"/>
    <w:rsid w:val="51441B76"/>
    <w:rsid w:val="51C96575"/>
    <w:rsid w:val="51CE6E89"/>
    <w:rsid w:val="51D913CF"/>
    <w:rsid w:val="53332C9A"/>
    <w:rsid w:val="53E00533"/>
    <w:rsid w:val="54D46080"/>
    <w:rsid w:val="552078AA"/>
    <w:rsid w:val="57BB1FCF"/>
    <w:rsid w:val="59115444"/>
    <w:rsid w:val="59381A38"/>
    <w:rsid w:val="5B920779"/>
    <w:rsid w:val="5CFE091A"/>
    <w:rsid w:val="5DC3599E"/>
    <w:rsid w:val="5F9A0CFC"/>
    <w:rsid w:val="5FDD151E"/>
    <w:rsid w:val="605C0804"/>
    <w:rsid w:val="61D218D0"/>
    <w:rsid w:val="62A233F4"/>
    <w:rsid w:val="64F51287"/>
    <w:rsid w:val="652B37D9"/>
    <w:rsid w:val="664112F2"/>
    <w:rsid w:val="6682429A"/>
    <w:rsid w:val="66BC66AA"/>
    <w:rsid w:val="68213DB8"/>
    <w:rsid w:val="68B66EF9"/>
    <w:rsid w:val="68BE23A2"/>
    <w:rsid w:val="68C770A9"/>
    <w:rsid w:val="69E54594"/>
    <w:rsid w:val="69E95A08"/>
    <w:rsid w:val="6B0E2D81"/>
    <w:rsid w:val="6B7678FF"/>
    <w:rsid w:val="6C517895"/>
    <w:rsid w:val="6EC31A80"/>
    <w:rsid w:val="71035221"/>
    <w:rsid w:val="72154325"/>
    <w:rsid w:val="724D0AFE"/>
    <w:rsid w:val="743E5EAF"/>
    <w:rsid w:val="74DA0B96"/>
    <w:rsid w:val="75AD4450"/>
    <w:rsid w:val="77853D64"/>
    <w:rsid w:val="78FE08A5"/>
    <w:rsid w:val="79055C39"/>
    <w:rsid w:val="7A590988"/>
    <w:rsid w:val="7AA73E4A"/>
    <w:rsid w:val="7AA747D5"/>
    <w:rsid w:val="7BDD7714"/>
    <w:rsid w:val="7C856AA9"/>
    <w:rsid w:val="7D7E37E6"/>
    <w:rsid w:val="7DAE2D99"/>
    <w:rsid w:val="7E8E66EC"/>
    <w:rsid w:val="7EE0405C"/>
    <w:rsid w:val="7F391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3"/>
    <w:basedOn w:val="1"/>
    <w:next w:val="1"/>
    <w:unhideWhenUsed/>
    <w:qFormat/>
    <w:uiPriority w:val="39"/>
    <w:pPr>
      <w:spacing w:line="560" w:lineRule="exact"/>
      <w:ind w:firstLine="585"/>
    </w:pPr>
    <w:rPr>
      <w:rFonts w:ascii="仿宋" w:hAnsi="仿宋" w:eastAsia="仿宋"/>
      <w:sz w:val="32"/>
      <w:szCs w:val="32"/>
    </w:rPr>
  </w:style>
  <w:style w:type="paragraph" w:styleId="3">
    <w:name w:val="annotation text"/>
    <w:basedOn w:val="1"/>
    <w:qFormat/>
    <w:uiPriority w:val="0"/>
    <w:pPr>
      <w:jc w:val="left"/>
    </w:pPr>
  </w:style>
  <w:style w:type="paragraph" w:styleId="4">
    <w:name w:val="Body Text"/>
    <w:basedOn w:val="1"/>
    <w:qFormat/>
    <w:uiPriority w:val="1"/>
    <w:rPr>
      <w:rFonts w:ascii="仿宋_GB2312" w:hAnsi="仿宋_GB2312" w:eastAsia="仿宋_GB2312" w:cs="仿宋_GB2312"/>
      <w:sz w:val="34"/>
      <w:szCs w:val="34"/>
      <w:lang w:val="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qFormat/>
    <w:uiPriority w:val="0"/>
    <w:pPr>
      <w:spacing w:after="120" w:line="480" w:lineRule="auto"/>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4563</Words>
  <Characters>4659</Characters>
  <Lines>0</Lines>
  <Paragraphs>0</Paragraphs>
  <TotalTime>19</TotalTime>
  <ScaleCrop>false</ScaleCrop>
  <LinksUpToDate>false</LinksUpToDate>
  <CharactersWithSpaces>4681</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2021-11-12T07:21:00Z</dcterms:created>
  <dc:creator>yoga微笑的鱼</dc:creator>
  <cp:lastModifiedBy>周建红</cp:lastModifiedBy>
  <cp:lastPrinted>2024-12-03T07:46:00Z</cp:lastPrinted>
  <dcterms:modified xsi:type="dcterms:W3CDTF">2024-12-03T07:55:38Z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B09B7E96CF304028BA7E5733B138156B_13</vt:lpwstr>
  </property>
</Properties>
</file>